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charts/chart2.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F6A" w:rsidRPr="00FF6F6A" w:rsidRDefault="0023599A" w:rsidP="00FF6F6A">
      <w:pPr>
        <w:jc w:val="right"/>
        <w:rPr>
          <w:b/>
        </w:rPr>
      </w:pPr>
      <w:bookmarkStart w:id="0" w:name="_Toc304199307"/>
      <w:r>
        <w:br w:type="textWrapping" w:clear="all"/>
      </w:r>
    </w:p>
    <w:tbl>
      <w:tblPr>
        <w:tblW w:w="11353" w:type="dxa"/>
        <w:tblInd w:w="250" w:type="dxa"/>
        <w:tblLook w:val="04A0" w:firstRow="1" w:lastRow="0" w:firstColumn="1" w:lastColumn="0" w:noHBand="0" w:noVBand="1"/>
      </w:tblPr>
      <w:tblGrid>
        <w:gridCol w:w="10562"/>
        <w:gridCol w:w="791"/>
      </w:tblGrid>
      <w:tr w:rsidR="00D41D59" w:rsidTr="00FF6F6A">
        <w:trPr>
          <w:trHeight w:val="454"/>
        </w:trPr>
        <w:tc>
          <w:tcPr>
            <w:tcW w:w="10562" w:type="dxa"/>
            <w:tcBorders>
              <w:top w:val="nil"/>
              <w:left w:val="nil"/>
              <w:bottom w:val="nil"/>
              <w:right w:val="nil"/>
            </w:tcBorders>
            <w:shd w:val="clear" w:color="auto" w:fill="auto"/>
            <w:vAlign w:val="center"/>
          </w:tcPr>
          <w:p w:rsidR="00FF6F6A" w:rsidRPr="002F17B5" w:rsidRDefault="00FF6F6A" w:rsidP="00FF6F6A">
            <w:pPr>
              <w:autoSpaceDE/>
              <w:autoSpaceDN/>
              <w:adjustRightInd/>
              <w:spacing w:after="0"/>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FF6F6A" w:rsidRPr="00F477E0" w:rsidRDefault="00FF6F6A" w:rsidP="00FF6F6A">
            <w:pPr>
              <w:autoSpaceDE/>
              <w:autoSpaceDN/>
              <w:adjustRightInd/>
              <w:spacing w:after="0"/>
              <w:jc w:val="center"/>
              <w:rPr>
                <w:rFonts w:eastAsia="Times New Roman" w:cs="Arial"/>
                <w:color w:val="auto"/>
                <w:lang w:eastAsia="en-GB"/>
              </w:rPr>
            </w:pPr>
          </w:p>
        </w:tc>
      </w:tr>
      <w:tr w:rsidR="00D41D59" w:rsidTr="00FF6F6A">
        <w:trPr>
          <w:trHeight w:val="454"/>
        </w:trPr>
        <w:tc>
          <w:tcPr>
            <w:tcW w:w="10562" w:type="dxa"/>
            <w:tcBorders>
              <w:top w:val="nil"/>
              <w:left w:val="nil"/>
              <w:bottom w:val="nil"/>
              <w:right w:val="nil"/>
            </w:tcBorders>
            <w:shd w:val="clear" w:color="auto" w:fill="auto"/>
            <w:vAlign w:val="center"/>
          </w:tcPr>
          <w:p w:rsidR="00FF6F6A" w:rsidRPr="00E904FC" w:rsidRDefault="0023599A" w:rsidP="00FF6F6A">
            <w:pPr>
              <w:spacing w:after="0"/>
              <w:rPr>
                <w:b/>
                <w:snapToGrid w:val="0"/>
                <w:sz w:val="32"/>
                <w:szCs w:val="32"/>
              </w:rPr>
            </w:pPr>
            <w:r w:rsidRPr="00E904FC">
              <w:rPr>
                <w:b/>
                <w:snapToGrid w:val="0"/>
                <w:sz w:val="32"/>
                <w:szCs w:val="32"/>
              </w:rPr>
              <w:t xml:space="preserve">Lancashire County Pension Fund </w:t>
            </w:r>
          </w:p>
          <w:p w:rsidR="00FF6F6A" w:rsidRDefault="00FF6F6A" w:rsidP="00FF6F6A">
            <w:pPr>
              <w:spacing w:after="0"/>
              <w:rPr>
                <w:b/>
                <w:snapToGrid w:val="0"/>
                <w:sz w:val="28"/>
              </w:rPr>
            </w:pPr>
          </w:p>
          <w:p w:rsidR="00FF6F6A" w:rsidRDefault="00FF6F6A" w:rsidP="00FF6F6A">
            <w:pPr>
              <w:spacing w:after="0"/>
              <w:rPr>
                <w:b/>
                <w:snapToGrid w:val="0"/>
                <w:sz w:val="28"/>
              </w:rPr>
            </w:pPr>
          </w:p>
          <w:p w:rsidR="00FF6F6A" w:rsidRPr="00E904FC" w:rsidRDefault="0023599A" w:rsidP="00FF6F6A">
            <w:pPr>
              <w:spacing w:after="0"/>
              <w:rPr>
                <w:b/>
                <w:snapToGrid w:val="0"/>
                <w:sz w:val="32"/>
                <w:szCs w:val="32"/>
              </w:rPr>
            </w:pPr>
            <w:r w:rsidRPr="00E904FC">
              <w:rPr>
                <w:b/>
                <w:snapToGrid w:val="0"/>
                <w:sz w:val="32"/>
                <w:szCs w:val="32"/>
              </w:rPr>
              <w:t>Contents</w:t>
            </w:r>
          </w:p>
          <w:p w:rsidR="00FF6F6A" w:rsidRDefault="00FF6F6A" w:rsidP="00FF6F6A">
            <w:pPr>
              <w:spacing w:after="0"/>
              <w:rPr>
                <w:b/>
                <w:snapToGrid w:val="0"/>
                <w:sz w:val="28"/>
              </w:rPr>
            </w:pPr>
          </w:p>
          <w:p w:rsidR="00FF6F6A" w:rsidRDefault="00FF6F6A" w:rsidP="00FF6F6A">
            <w:pPr>
              <w:spacing w:after="0"/>
              <w:rPr>
                <w:b/>
                <w:snapToGrid w:val="0"/>
                <w:sz w:val="28"/>
              </w:rPr>
            </w:pPr>
          </w:p>
          <w:tbl>
            <w:tblPr>
              <w:tblW w:w="0" w:type="auto"/>
              <w:tblLook w:val="04A0" w:firstRow="1" w:lastRow="0" w:firstColumn="1" w:lastColumn="0" w:noHBand="0" w:noVBand="1"/>
            </w:tblPr>
            <w:tblGrid>
              <w:gridCol w:w="1228"/>
              <w:gridCol w:w="6945"/>
              <w:gridCol w:w="1807"/>
            </w:tblGrid>
            <w:tr w:rsidR="00D41D59" w:rsidTr="00FF6F6A">
              <w:tc>
                <w:tcPr>
                  <w:tcW w:w="1101" w:type="dxa"/>
                </w:tcPr>
                <w:p w:rsidR="00FF6F6A" w:rsidRPr="00E904FC" w:rsidRDefault="0023599A" w:rsidP="00FF6F6A">
                  <w:pPr>
                    <w:spacing w:after="0"/>
                    <w:rPr>
                      <w:b/>
                      <w:snapToGrid w:val="0"/>
                      <w:sz w:val="28"/>
                      <w:szCs w:val="28"/>
                    </w:rPr>
                  </w:pPr>
                  <w:r w:rsidRPr="00E904FC">
                    <w:rPr>
                      <w:b/>
                      <w:snapToGrid w:val="0"/>
                      <w:sz w:val="28"/>
                      <w:szCs w:val="28"/>
                    </w:rPr>
                    <w:t>Section</w:t>
                  </w:r>
                </w:p>
              </w:tc>
              <w:tc>
                <w:tcPr>
                  <w:tcW w:w="6945" w:type="dxa"/>
                </w:tcPr>
                <w:p w:rsidR="00FF6F6A" w:rsidRPr="00E904FC" w:rsidRDefault="0023599A" w:rsidP="00FF6F6A">
                  <w:pPr>
                    <w:spacing w:after="0"/>
                    <w:jc w:val="left"/>
                    <w:rPr>
                      <w:b/>
                      <w:snapToGrid w:val="0"/>
                      <w:sz w:val="28"/>
                      <w:szCs w:val="28"/>
                    </w:rPr>
                  </w:pPr>
                  <w:r w:rsidRPr="00E904FC">
                    <w:rPr>
                      <w:b/>
                      <w:snapToGrid w:val="0"/>
                      <w:sz w:val="28"/>
                      <w:szCs w:val="28"/>
                    </w:rPr>
                    <w:t>Description</w:t>
                  </w:r>
                </w:p>
              </w:tc>
              <w:tc>
                <w:tcPr>
                  <w:tcW w:w="1807" w:type="dxa"/>
                </w:tcPr>
                <w:p w:rsidR="00FF6F6A" w:rsidRPr="00E904FC" w:rsidRDefault="0023599A" w:rsidP="00FF6F6A">
                  <w:pPr>
                    <w:spacing w:after="0"/>
                    <w:jc w:val="center"/>
                    <w:rPr>
                      <w:b/>
                      <w:snapToGrid w:val="0"/>
                      <w:sz w:val="28"/>
                      <w:szCs w:val="28"/>
                    </w:rPr>
                  </w:pPr>
                  <w:r w:rsidRPr="00E904FC">
                    <w:rPr>
                      <w:b/>
                      <w:snapToGrid w:val="0"/>
                      <w:sz w:val="28"/>
                      <w:szCs w:val="28"/>
                    </w:rPr>
                    <w:t>Page</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A</w:t>
                  </w:r>
                </w:p>
              </w:tc>
              <w:tc>
                <w:tcPr>
                  <w:tcW w:w="6945" w:type="dxa"/>
                </w:tcPr>
                <w:p w:rsidR="00FF6F6A" w:rsidRPr="00D07A93" w:rsidRDefault="0023599A" w:rsidP="00FF6F6A">
                  <w:pPr>
                    <w:spacing w:after="0"/>
                    <w:rPr>
                      <w:b/>
                      <w:snapToGrid w:val="0"/>
                    </w:rPr>
                  </w:pPr>
                  <w:r w:rsidRPr="00D07A93">
                    <w:rPr>
                      <w:b/>
                      <w:snapToGrid w:val="0"/>
                    </w:rPr>
                    <w:t>Management Structure</w:t>
                  </w:r>
                </w:p>
              </w:tc>
              <w:tc>
                <w:tcPr>
                  <w:tcW w:w="1807" w:type="dxa"/>
                </w:tcPr>
                <w:p w:rsidR="00FF6F6A" w:rsidRPr="00D07A93" w:rsidRDefault="0023599A" w:rsidP="00FF6F6A">
                  <w:pPr>
                    <w:spacing w:after="0"/>
                    <w:jc w:val="center"/>
                    <w:rPr>
                      <w:b/>
                      <w:snapToGrid w:val="0"/>
                    </w:rPr>
                  </w:pPr>
                  <w:r w:rsidRPr="00D07A93">
                    <w:rPr>
                      <w:b/>
                      <w:snapToGrid w:val="0"/>
                    </w:rPr>
                    <w:t>2</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B</w:t>
                  </w:r>
                </w:p>
              </w:tc>
              <w:tc>
                <w:tcPr>
                  <w:tcW w:w="6945" w:type="dxa"/>
                </w:tcPr>
                <w:p w:rsidR="00FF6F6A" w:rsidRPr="00D07A93" w:rsidRDefault="0023599A" w:rsidP="00FF6F6A">
                  <w:pPr>
                    <w:spacing w:after="0"/>
                    <w:rPr>
                      <w:b/>
                      <w:snapToGrid w:val="0"/>
                    </w:rPr>
                  </w:pPr>
                  <w:r w:rsidRPr="00D07A93">
                    <w:rPr>
                      <w:b/>
                      <w:snapToGrid w:val="0"/>
                    </w:rPr>
                    <w:t xml:space="preserve">Foreword by the Chair of the Pension Fund Committee </w:t>
                  </w:r>
                </w:p>
              </w:tc>
              <w:tc>
                <w:tcPr>
                  <w:tcW w:w="1807" w:type="dxa"/>
                </w:tcPr>
                <w:p w:rsidR="00FF6F6A" w:rsidRPr="00D07A93" w:rsidRDefault="00DA2DD1" w:rsidP="00FF6F6A">
                  <w:pPr>
                    <w:spacing w:after="0"/>
                    <w:jc w:val="center"/>
                    <w:rPr>
                      <w:b/>
                      <w:snapToGrid w:val="0"/>
                    </w:rPr>
                  </w:pPr>
                  <w:r>
                    <w:rPr>
                      <w:b/>
                      <w:snapToGrid w:val="0"/>
                    </w:rPr>
                    <w:t>3</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C</w:t>
                  </w:r>
                </w:p>
              </w:tc>
              <w:tc>
                <w:tcPr>
                  <w:tcW w:w="6945" w:type="dxa"/>
                </w:tcPr>
                <w:p w:rsidR="00FF6F6A" w:rsidRPr="00D07A93" w:rsidRDefault="0023599A" w:rsidP="00FF6F6A">
                  <w:pPr>
                    <w:spacing w:after="0"/>
                    <w:rPr>
                      <w:b/>
                      <w:snapToGrid w:val="0"/>
                    </w:rPr>
                  </w:pPr>
                  <w:r w:rsidRPr="00D07A93">
                    <w:rPr>
                      <w:b/>
                      <w:snapToGrid w:val="0"/>
                    </w:rPr>
                    <w:t>Governance of the Fund</w:t>
                  </w:r>
                </w:p>
              </w:tc>
              <w:tc>
                <w:tcPr>
                  <w:tcW w:w="1807" w:type="dxa"/>
                </w:tcPr>
                <w:p w:rsidR="00FF6F6A" w:rsidRPr="00D07A93" w:rsidRDefault="00DA2DD1" w:rsidP="00FF6F6A">
                  <w:pPr>
                    <w:spacing w:after="0"/>
                    <w:jc w:val="center"/>
                    <w:rPr>
                      <w:b/>
                      <w:snapToGrid w:val="0"/>
                    </w:rPr>
                  </w:pPr>
                  <w:r>
                    <w:rPr>
                      <w:b/>
                      <w:snapToGrid w:val="0"/>
                    </w:rPr>
                    <w:t>5</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D</w:t>
                  </w:r>
                </w:p>
              </w:tc>
              <w:tc>
                <w:tcPr>
                  <w:tcW w:w="6945" w:type="dxa"/>
                </w:tcPr>
                <w:p w:rsidR="00FF6F6A" w:rsidRPr="00D07A93" w:rsidRDefault="0023599A" w:rsidP="00FF6F6A">
                  <w:pPr>
                    <w:spacing w:after="0"/>
                    <w:rPr>
                      <w:b/>
                      <w:snapToGrid w:val="0"/>
                    </w:rPr>
                  </w:pPr>
                  <w:r w:rsidRPr="00D07A93">
                    <w:rPr>
                      <w:b/>
                      <w:snapToGrid w:val="0"/>
                    </w:rPr>
                    <w:t>Administration of the Fund</w:t>
                  </w:r>
                </w:p>
              </w:tc>
              <w:tc>
                <w:tcPr>
                  <w:tcW w:w="1807" w:type="dxa"/>
                </w:tcPr>
                <w:p w:rsidR="00FF6F6A" w:rsidRPr="00D07A93" w:rsidRDefault="0074795C" w:rsidP="00FF6F6A">
                  <w:pPr>
                    <w:spacing w:after="0"/>
                    <w:jc w:val="center"/>
                    <w:rPr>
                      <w:b/>
                      <w:snapToGrid w:val="0"/>
                    </w:rPr>
                  </w:pPr>
                  <w:r>
                    <w:rPr>
                      <w:b/>
                      <w:snapToGrid w:val="0"/>
                    </w:rPr>
                    <w:t>10</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E</w:t>
                  </w:r>
                </w:p>
              </w:tc>
              <w:tc>
                <w:tcPr>
                  <w:tcW w:w="6945" w:type="dxa"/>
                </w:tcPr>
                <w:p w:rsidR="00FF6F6A" w:rsidRPr="00D07A93" w:rsidRDefault="0023599A" w:rsidP="00FF6F6A">
                  <w:pPr>
                    <w:spacing w:after="0"/>
                    <w:rPr>
                      <w:b/>
                      <w:snapToGrid w:val="0"/>
                    </w:rPr>
                  </w:pPr>
                  <w:r w:rsidRPr="00D07A93">
                    <w:rPr>
                      <w:b/>
                      <w:snapToGrid w:val="0"/>
                    </w:rPr>
                    <w:t>Knowledge and Skills Framework</w:t>
                  </w:r>
                </w:p>
              </w:tc>
              <w:tc>
                <w:tcPr>
                  <w:tcW w:w="1807" w:type="dxa"/>
                </w:tcPr>
                <w:p w:rsidR="00FF6F6A" w:rsidRPr="00D07A93" w:rsidRDefault="00DA2DD1" w:rsidP="00DA2DD1">
                  <w:pPr>
                    <w:spacing w:after="0"/>
                    <w:jc w:val="center"/>
                    <w:rPr>
                      <w:b/>
                      <w:snapToGrid w:val="0"/>
                    </w:rPr>
                  </w:pPr>
                  <w:r w:rsidRPr="00D07A93">
                    <w:rPr>
                      <w:b/>
                      <w:snapToGrid w:val="0"/>
                    </w:rPr>
                    <w:t>1</w:t>
                  </w:r>
                  <w:r>
                    <w:rPr>
                      <w:b/>
                      <w:snapToGrid w:val="0"/>
                    </w:rPr>
                    <w:t>3</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F</w:t>
                  </w:r>
                </w:p>
              </w:tc>
              <w:tc>
                <w:tcPr>
                  <w:tcW w:w="6945" w:type="dxa"/>
                </w:tcPr>
                <w:p w:rsidR="00FF6F6A" w:rsidRPr="00D07A93" w:rsidRDefault="0023599A" w:rsidP="00FF6F6A">
                  <w:pPr>
                    <w:spacing w:after="0"/>
                    <w:rPr>
                      <w:b/>
                      <w:snapToGrid w:val="0"/>
                    </w:rPr>
                  </w:pPr>
                  <w:r w:rsidRPr="00D07A93">
                    <w:rPr>
                      <w:b/>
                      <w:snapToGrid w:val="0"/>
                    </w:rPr>
                    <w:t>Investment Policy and Performance</w:t>
                  </w:r>
                </w:p>
              </w:tc>
              <w:tc>
                <w:tcPr>
                  <w:tcW w:w="1807" w:type="dxa"/>
                </w:tcPr>
                <w:p w:rsidR="00FF6F6A" w:rsidRPr="00D07A93" w:rsidRDefault="00DA2DD1" w:rsidP="00DA2DD1">
                  <w:pPr>
                    <w:spacing w:after="0"/>
                    <w:jc w:val="center"/>
                    <w:rPr>
                      <w:b/>
                      <w:snapToGrid w:val="0"/>
                    </w:rPr>
                  </w:pPr>
                  <w:r>
                    <w:rPr>
                      <w:b/>
                      <w:snapToGrid w:val="0"/>
                    </w:rPr>
                    <w:t>16</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G</w:t>
                  </w:r>
                </w:p>
              </w:tc>
              <w:tc>
                <w:tcPr>
                  <w:tcW w:w="6945" w:type="dxa"/>
                </w:tcPr>
                <w:p w:rsidR="00FF6F6A" w:rsidRPr="00D07A93" w:rsidRDefault="0023599A" w:rsidP="00FF6F6A">
                  <w:pPr>
                    <w:spacing w:after="0"/>
                    <w:rPr>
                      <w:b/>
                      <w:snapToGrid w:val="0"/>
                    </w:rPr>
                  </w:pPr>
                  <w:r w:rsidRPr="00D07A93">
                    <w:rPr>
                      <w:b/>
                      <w:snapToGrid w:val="0"/>
                    </w:rPr>
                    <w:t>Accounts of the Fund</w:t>
                  </w:r>
                </w:p>
              </w:tc>
              <w:tc>
                <w:tcPr>
                  <w:tcW w:w="1807" w:type="dxa"/>
                </w:tcPr>
                <w:p w:rsidR="00FF6F6A" w:rsidRPr="00D07A93" w:rsidRDefault="002D2C95" w:rsidP="002D2C95">
                  <w:pPr>
                    <w:spacing w:after="0"/>
                    <w:jc w:val="center"/>
                    <w:rPr>
                      <w:b/>
                      <w:snapToGrid w:val="0"/>
                    </w:rPr>
                  </w:pPr>
                  <w:r>
                    <w:rPr>
                      <w:b/>
                      <w:snapToGrid w:val="0"/>
                    </w:rPr>
                    <w:t>29</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H</w:t>
                  </w:r>
                </w:p>
              </w:tc>
              <w:tc>
                <w:tcPr>
                  <w:tcW w:w="6945" w:type="dxa"/>
                </w:tcPr>
                <w:p w:rsidR="00FF6F6A" w:rsidRPr="00D07A93" w:rsidRDefault="0023599A" w:rsidP="00FF6F6A">
                  <w:pPr>
                    <w:spacing w:after="0"/>
                    <w:rPr>
                      <w:b/>
                      <w:snapToGrid w:val="0"/>
                    </w:rPr>
                  </w:pPr>
                  <w:r w:rsidRPr="00D07A93">
                    <w:rPr>
                      <w:b/>
                      <w:snapToGrid w:val="0"/>
                    </w:rPr>
                    <w:t xml:space="preserve">Lancashire Local Pension Board Annual Report </w:t>
                  </w:r>
                </w:p>
              </w:tc>
              <w:tc>
                <w:tcPr>
                  <w:tcW w:w="1807" w:type="dxa"/>
                </w:tcPr>
                <w:p w:rsidR="00FF6F6A" w:rsidRPr="00D07A93" w:rsidRDefault="00D86A1E" w:rsidP="00D86A1E">
                  <w:pPr>
                    <w:spacing w:after="0"/>
                    <w:jc w:val="center"/>
                    <w:rPr>
                      <w:b/>
                      <w:snapToGrid w:val="0"/>
                    </w:rPr>
                  </w:pPr>
                  <w:r>
                    <w:rPr>
                      <w:b/>
                      <w:snapToGrid w:val="0"/>
                    </w:rPr>
                    <w:t>79</w:t>
                  </w:r>
                </w:p>
              </w:tc>
            </w:tr>
            <w:tr w:rsidR="00D41D59" w:rsidTr="00FF6F6A">
              <w:tc>
                <w:tcPr>
                  <w:tcW w:w="1101" w:type="dxa"/>
                </w:tcPr>
                <w:p w:rsidR="00FF6F6A" w:rsidRPr="00D07A93" w:rsidRDefault="00FF6F6A" w:rsidP="00FF6F6A">
                  <w:pPr>
                    <w:spacing w:after="0"/>
                    <w:rPr>
                      <w:b/>
                      <w:snapToGrid w:val="0"/>
                    </w:rPr>
                  </w:pPr>
                </w:p>
              </w:tc>
              <w:tc>
                <w:tcPr>
                  <w:tcW w:w="6945" w:type="dxa"/>
                </w:tcPr>
                <w:p w:rsidR="00FF6F6A" w:rsidRPr="00D07A93" w:rsidRDefault="00FF6F6A" w:rsidP="00FF6F6A">
                  <w:pPr>
                    <w:spacing w:after="0"/>
                    <w:rPr>
                      <w:b/>
                      <w:snapToGrid w:val="0"/>
                    </w:rPr>
                  </w:pPr>
                </w:p>
              </w:tc>
              <w:tc>
                <w:tcPr>
                  <w:tcW w:w="1807" w:type="dxa"/>
                </w:tcPr>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I</w:t>
                  </w:r>
                </w:p>
              </w:tc>
              <w:tc>
                <w:tcPr>
                  <w:tcW w:w="6945" w:type="dxa"/>
                </w:tcPr>
                <w:p w:rsidR="00FF6F6A" w:rsidRPr="00D07A93" w:rsidRDefault="0023599A" w:rsidP="00FF6F6A">
                  <w:pPr>
                    <w:spacing w:after="0"/>
                    <w:rPr>
                      <w:b/>
                      <w:snapToGrid w:val="0"/>
                    </w:rPr>
                  </w:pPr>
                  <w:r w:rsidRPr="00D07A93">
                    <w:rPr>
                      <w:b/>
                      <w:snapToGrid w:val="0"/>
                    </w:rPr>
                    <w:t>Actuarial Valuation</w:t>
                  </w:r>
                </w:p>
              </w:tc>
              <w:tc>
                <w:tcPr>
                  <w:tcW w:w="1807" w:type="dxa"/>
                </w:tcPr>
                <w:p w:rsidR="00FF6F6A" w:rsidRPr="00D07A93" w:rsidRDefault="00D86A1E" w:rsidP="00FF6F6A">
                  <w:pPr>
                    <w:spacing w:after="0"/>
                    <w:jc w:val="center"/>
                    <w:rPr>
                      <w:b/>
                      <w:snapToGrid w:val="0"/>
                    </w:rPr>
                  </w:pPr>
                  <w:r>
                    <w:rPr>
                      <w:b/>
                      <w:snapToGrid w:val="0"/>
                    </w:rPr>
                    <w:t>82</w:t>
                  </w:r>
                </w:p>
                <w:p w:rsidR="00FF6F6A" w:rsidRPr="00D07A93" w:rsidRDefault="00FF6F6A" w:rsidP="00FF6F6A">
                  <w:pPr>
                    <w:spacing w:after="0"/>
                    <w:jc w:val="center"/>
                    <w:rPr>
                      <w:b/>
                      <w:snapToGrid w:val="0"/>
                    </w:rPr>
                  </w:pPr>
                </w:p>
              </w:tc>
            </w:tr>
            <w:tr w:rsidR="00D41D59" w:rsidTr="00FF6F6A">
              <w:tc>
                <w:tcPr>
                  <w:tcW w:w="1101" w:type="dxa"/>
                </w:tcPr>
                <w:p w:rsidR="00FF6F6A" w:rsidRPr="00D07A93" w:rsidRDefault="0023599A" w:rsidP="00FF6F6A">
                  <w:pPr>
                    <w:spacing w:after="0"/>
                    <w:rPr>
                      <w:b/>
                      <w:snapToGrid w:val="0"/>
                    </w:rPr>
                  </w:pPr>
                  <w:r w:rsidRPr="00D07A93">
                    <w:rPr>
                      <w:b/>
                      <w:snapToGrid w:val="0"/>
                    </w:rPr>
                    <w:t>J</w:t>
                  </w:r>
                </w:p>
              </w:tc>
              <w:tc>
                <w:tcPr>
                  <w:tcW w:w="6945" w:type="dxa"/>
                </w:tcPr>
                <w:p w:rsidR="00FF6F6A" w:rsidRPr="00D07A93" w:rsidRDefault="0023599A" w:rsidP="00FF6F6A">
                  <w:pPr>
                    <w:spacing w:after="0"/>
                    <w:rPr>
                      <w:b/>
                      <w:snapToGrid w:val="0"/>
                    </w:rPr>
                  </w:pPr>
                  <w:r w:rsidRPr="00D07A93">
                    <w:rPr>
                      <w:b/>
                      <w:snapToGrid w:val="0"/>
                    </w:rPr>
                    <w:t>Contacts</w:t>
                  </w:r>
                </w:p>
              </w:tc>
              <w:tc>
                <w:tcPr>
                  <w:tcW w:w="1807" w:type="dxa"/>
                </w:tcPr>
                <w:p w:rsidR="00FF6F6A" w:rsidRPr="00D07A93" w:rsidRDefault="00D86A1E" w:rsidP="00FF6F6A">
                  <w:pPr>
                    <w:spacing w:after="0"/>
                    <w:jc w:val="center"/>
                    <w:rPr>
                      <w:b/>
                      <w:snapToGrid w:val="0"/>
                    </w:rPr>
                  </w:pPr>
                  <w:r>
                    <w:rPr>
                      <w:b/>
                      <w:snapToGrid w:val="0"/>
                    </w:rPr>
                    <w:t>99</w:t>
                  </w:r>
                </w:p>
                <w:p w:rsidR="00FF6F6A" w:rsidRPr="00D07A93" w:rsidRDefault="00FF6F6A" w:rsidP="00FF6F6A">
                  <w:pPr>
                    <w:spacing w:after="0"/>
                    <w:jc w:val="center"/>
                    <w:rPr>
                      <w:b/>
                      <w:snapToGrid w:val="0"/>
                    </w:rPr>
                  </w:pPr>
                </w:p>
              </w:tc>
            </w:tr>
          </w:tbl>
          <w:p w:rsidR="00FF6F6A" w:rsidRPr="002F17B5" w:rsidRDefault="00FF6F6A" w:rsidP="00FF6F6A">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FF6F6A" w:rsidRPr="00F477E0" w:rsidRDefault="00FF6F6A" w:rsidP="00FF6F6A">
            <w:pPr>
              <w:autoSpaceDE/>
              <w:autoSpaceDN/>
              <w:adjustRightInd/>
              <w:spacing w:after="0"/>
              <w:jc w:val="center"/>
              <w:rPr>
                <w:rFonts w:eastAsia="Times New Roman" w:cs="Arial"/>
                <w:color w:val="auto"/>
                <w:lang w:eastAsia="en-GB"/>
              </w:rPr>
            </w:pPr>
          </w:p>
        </w:tc>
      </w:tr>
      <w:tr w:rsidR="00D41D59" w:rsidTr="00FF6F6A">
        <w:trPr>
          <w:trHeight w:val="3271"/>
        </w:trPr>
        <w:tc>
          <w:tcPr>
            <w:tcW w:w="10562" w:type="dxa"/>
            <w:tcBorders>
              <w:top w:val="nil"/>
              <w:left w:val="nil"/>
              <w:bottom w:val="nil"/>
              <w:right w:val="nil"/>
            </w:tcBorders>
            <w:shd w:val="clear" w:color="auto" w:fill="auto"/>
            <w:vAlign w:val="center"/>
          </w:tcPr>
          <w:tbl>
            <w:tblPr>
              <w:tblW w:w="0" w:type="auto"/>
              <w:tblLook w:val="04A0" w:firstRow="1" w:lastRow="0" w:firstColumn="1" w:lastColumn="0" w:noHBand="0" w:noVBand="1"/>
            </w:tblPr>
            <w:tblGrid>
              <w:gridCol w:w="1079"/>
              <w:gridCol w:w="7068"/>
              <w:gridCol w:w="1843"/>
            </w:tblGrid>
            <w:tr w:rsidR="00D41D59" w:rsidTr="00FF6F6A">
              <w:trPr>
                <w:trHeight w:val="1083"/>
              </w:trPr>
              <w:tc>
                <w:tcPr>
                  <w:tcW w:w="1079" w:type="dxa"/>
                </w:tcPr>
                <w:p w:rsidR="00FF6F6A" w:rsidRDefault="0023599A" w:rsidP="00FF6F6A">
                  <w:pPr>
                    <w:spacing w:after="0"/>
                    <w:rPr>
                      <w:b/>
                      <w:snapToGrid w:val="0"/>
                    </w:rPr>
                  </w:pPr>
                  <w:r>
                    <w:rPr>
                      <w:b/>
                      <w:snapToGrid w:val="0"/>
                    </w:rPr>
                    <w:t>K</w:t>
                  </w:r>
                </w:p>
                <w:p w:rsidR="00FF6F6A" w:rsidRDefault="00FF6F6A" w:rsidP="00FF6F6A">
                  <w:pPr>
                    <w:spacing w:after="0"/>
                    <w:rPr>
                      <w:b/>
                      <w:snapToGrid w:val="0"/>
                    </w:rPr>
                  </w:pPr>
                </w:p>
                <w:p w:rsidR="00FF6F6A" w:rsidRPr="00FC2CFF" w:rsidRDefault="00FF6F6A" w:rsidP="00FF6F6A">
                  <w:pPr>
                    <w:spacing w:after="0"/>
                    <w:rPr>
                      <w:b/>
                      <w:snapToGrid w:val="0"/>
                    </w:rPr>
                  </w:pPr>
                </w:p>
              </w:tc>
              <w:tc>
                <w:tcPr>
                  <w:tcW w:w="7068" w:type="dxa"/>
                </w:tcPr>
                <w:p w:rsidR="00FF6F6A" w:rsidRDefault="0023599A" w:rsidP="00FF6F6A">
                  <w:pPr>
                    <w:spacing w:after="0"/>
                    <w:rPr>
                      <w:b/>
                      <w:snapToGrid w:val="0"/>
                    </w:rPr>
                  </w:pPr>
                  <w:r>
                    <w:rPr>
                      <w:b/>
                      <w:snapToGrid w:val="0"/>
                    </w:rPr>
                    <w:t xml:space="preserve">  Glossary</w:t>
                  </w:r>
                </w:p>
                <w:p w:rsidR="00FF6F6A" w:rsidRDefault="00FF6F6A" w:rsidP="00FF6F6A">
                  <w:pPr>
                    <w:spacing w:after="0"/>
                    <w:rPr>
                      <w:b/>
                      <w:snapToGrid w:val="0"/>
                    </w:rPr>
                  </w:pPr>
                </w:p>
                <w:p w:rsidR="00FF6F6A" w:rsidRDefault="00FF6F6A" w:rsidP="00FF6F6A">
                  <w:pPr>
                    <w:spacing w:after="0"/>
                    <w:rPr>
                      <w:b/>
                      <w:snapToGrid w:val="0"/>
                    </w:rPr>
                  </w:pPr>
                </w:p>
                <w:p w:rsidR="00FF6F6A" w:rsidRPr="00FC2CFF" w:rsidRDefault="0023599A" w:rsidP="00FF6F6A">
                  <w:pPr>
                    <w:spacing w:after="0"/>
                    <w:rPr>
                      <w:b/>
                      <w:snapToGrid w:val="0"/>
                    </w:rPr>
                  </w:pPr>
                  <w:r>
                    <w:rPr>
                      <w:b/>
                      <w:snapToGrid w:val="0"/>
                    </w:rPr>
                    <w:t>Appendice</w:t>
                  </w:r>
                  <w:r w:rsidR="00FF6F6A">
                    <w:rPr>
                      <w:b/>
                      <w:snapToGrid w:val="0"/>
                    </w:rPr>
                    <w:t>s</w:t>
                  </w:r>
                </w:p>
              </w:tc>
              <w:tc>
                <w:tcPr>
                  <w:tcW w:w="1843" w:type="dxa"/>
                </w:tcPr>
                <w:p w:rsidR="00FF6F6A" w:rsidRPr="0055171A" w:rsidRDefault="00D86A1E" w:rsidP="00FF6F6A">
                  <w:pPr>
                    <w:spacing w:after="0"/>
                    <w:jc w:val="center"/>
                    <w:rPr>
                      <w:b/>
                      <w:snapToGrid w:val="0"/>
                    </w:rPr>
                  </w:pPr>
                  <w:r>
                    <w:rPr>
                      <w:b/>
                      <w:snapToGrid w:val="0"/>
                    </w:rPr>
                    <w:t>100</w:t>
                  </w:r>
                </w:p>
                <w:p w:rsidR="00FF6F6A" w:rsidRPr="00062886" w:rsidRDefault="00FF6F6A" w:rsidP="00FF6F6A">
                  <w:pPr>
                    <w:spacing w:after="0"/>
                    <w:jc w:val="center"/>
                    <w:rPr>
                      <w:b/>
                      <w:snapToGrid w:val="0"/>
                      <w:highlight w:val="yellow"/>
                    </w:rPr>
                  </w:pPr>
                </w:p>
              </w:tc>
            </w:tr>
            <w:tr w:rsidR="00D41D59" w:rsidTr="00FF6F6A">
              <w:trPr>
                <w:trHeight w:val="2026"/>
              </w:trPr>
              <w:tc>
                <w:tcPr>
                  <w:tcW w:w="1079" w:type="dxa"/>
                </w:tcPr>
                <w:p w:rsidR="00FF6F6A" w:rsidRDefault="00FF6F6A" w:rsidP="00FF6F6A">
                  <w:pPr>
                    <w:spacing w:after="0"/>
                    <w:rPr>
                      <w:b/>
                      <w:snapToGrid w:val="0"/>
                    </w:rPr>
                  </w:pPr>
                </w:p>
              </w:tc>
              <w:tc>
                <w:tcPr>
                  <w:tcW w:w="7068" w:type="dxa"/>
                </w:tcPr>
                <w:p w:rsidR="00FF6F6A" w:rsidRDefault="0023599A" w:rsidP="00F91786">
                  <w:pPr>
                    <w:pStyle w:val="ListParagraph"/>
                    <w:numPr>
                      <w:ilvl w:val="0"/>
                      <w:numId w:val="17"/>
                    </w:numPr>
                    <w:spacing w:after="0"/>
                    <w:ind w:left="418"/>
                    <w:rPr>
                      <w:b/>
                      <w:snapToGrid w:val="0"/>
                    </w:rPr>
                  </w:pPr>
                  <w:r>
                    <w:rPr>
                      <w:b/>
                      <w:snapToGrid w:val="0"/>
                    </w:rPr>
                    <w:t>Governance policy statement</w:t>
                  </w:r>
                </w:p>
                <w:p w:rsidR="00FF6F6A" w:rsidRDefault="0023599A" w:rsidP="00F91786">
                  <w:pPr>
                    <w:pStyle w:val="ListParagraph"/>
                    <w:numPr>
                      <w:ilvl w:val="0"/>
                      <w:numId w:val="17"/>
                    </w:numPr>
                    <w:spacing w:after="0"/>
                    <w:ind w:left="418"/>
                    <w:rPr>
                      <w:b/>
                      <w:snapToGrid w:val="0"/>
                    </w:rPr>
                  </w:pPr>
                  <w:r>
                    <w:rPr>
                      <w:b/>
                      <w:snapToGrid w:val="0"/>
                    </w:rPr>
                    <w:t>Administration report</w:t>
                  </w:r>
                </w:p>
                <w:p w:rsidR="00FF6F6A" w:rsidRDefault="0023599A" w:rsidP="00F91786">
                  <w:pPr>
                    <w:pStyle w:val="ListParagraph"/>
                    <w:numPr>
                      <w:ilvl w:val="0"/>
                      <w:numId w:val="17"/>
                    </w:numPr>
                    <w:spacing w:after="0"/>
                    <w:ind w:left="418"/>
                    <w:rPr>
                      <w:b/>
                      <w:snapToGrid w:val="0"/>
                    </w:rPr>
                  </w:pPr>
                  <w:r>
                    <w:rPr>
                      <w:b/>
                      <w:snapToGrid w:val="0"/>
                    </w:rPr>
                    <w:t>Communication policy statement</w:t>
                  </w:r>
                </w:p>
                <w:p w:rsidR="00FF6F6A" w:rsidRDefault="0023599A" w:rsidP="00F91786">
                  <w:pPr>
                    <w:pStyle w:val="ListParagraph"/>
                    <w:numPr>
                      <w:ilvl w:val="0"/>
                      <w:numId w:val="17"/>
                    </w:numPr>
                    <w:spacing w:after="0"/>
                    <w:ind w:left="418"/>
                    <w:rPr>
                      <w:b/>
                      <w:snapToGrid w:val="0"/>
                    </w:rPr>
                  </w:pPr>
                  <w:r>
                    <w:rPr>
                      <w:b/>
                      <w:snapToGrid w:val="0"/>
                    </w:rPr>
                    <w:t>Pensions administration strategy statement</w:t>
                  </w:r>
                </w:p>
                <w:p w:rsidR="00FF6F6A" w:rsidRDefault="0023599A" w:rsidP="00F91786">
                  <w:pPr>
                    <w:pStyle w:val="ListParagraph"/>
                    <w:numPr>
                      <w:ilvl w:val="0"/>
                      <w:numId w:val="17"/>
                    </w:numPr>
                    <w:spacing w:after="0"/>
                    <w:ind w:left="418"/>
                    <w:rPr>
                      <w:b/>
                      <w:snapToGrid w:val="0"/>
                    </w:rPr>
                  </w:pPr>
                  <w:r>
                    <w:rPr>
                      <w:b/>
                      <w:snapToGrid w:val="0"/>
                    </w:rPr>
                    <w:t>Funding strategy statement (FSS)</w:t>
                  </w:r>
                </w:p>
                <w:p w:rsidR="00FF6F6A" w:rsidRDefault="0023599A" w:rsidP="00F91786">
                  <w:pPr>
                    <w:pStyle w:val="ListParagraph"/>
                    <w:numPr>
                      <w:ilvl w:val="0"/>
                      <w:numId w:val="17"/>
                    </w:numPr>
                    <w:spacing w:after="0"/>
                    <w:ind w:left="418"/>
                    <w:rPr>
                      <w:b/>
                      <w:snapToGrid w:val="0"/>
                    </w:rPr>
                  </w:pPr>
                  <w:r>
                    <w:rPr>
                      <w:b/>
                      <w:snapToGrid w:val="0"/>
                    </w:rPr>
                    <w:t>Investment strategy statement</w:t>
                  </w:r>
                </w:p>
                <w:p w:rsidR="00FF6F6A" w:rsidRDefault="0023599A" w:rsidP="00F91786">
                  <w:pPr>
                    <w:pStyle w:val="ListParagraph"/>
                    <w:numPr>
                      <w:ilvl w:val="0"/>
                      <w:numId w:val="17"/>
                    </w:numPr>
                    <w:spacing w:after="0"/>
                    <w:ind w:left="418"/>
                    <w:rPr>
                      <w:b/>
                      <w:snapToGrid w:val="0"/>
                    </w:rPr>
                  </w:pPr>
                  <w:r>
                    <w:rPr>
                      <w:b/>
                      <w:snapToGrid w:val="0"/>
                    </w:rPr>
                    <w:t>Actuarial valuation</w:t>
                  </w:r>
                </w:p>
                <w:p w:rsidR="00FF6F6A" w:rsidRPr="00F504EE" w:rsidRDefault="0023599A" w:rsidP="00F91786">
                  <w:pPr>
                    <w:pStyle w:val="ListParagraph"/>
                    <w:numPr>
                      <w:ilvl w:val="0"/>
                      <w:numId w:val="17"/>
                    </w:numPr>
                    <w:spacing w:after="0"/>
                    <w:ind w:left="418"/>
                    <w:rPr>
                      <w:b/>
                      <w:snapToGrid w:val="0"/>
                    </w:rPr>
                  </w:pPr>
                  <w:r>
                    <w:rPr>
                      <w:b/>
                      <w:snapToGrid w:val="0"/>
                    </w:rPr>
                    <w:t>List of member organisations at 31 March 201</w:t>
                  </w:r>
                  <w:r w:rsidR="00FE5944">
                    <w:rPr>
                      <w:b/>
                      <w:snapToGrid w:val="0"/>
                    </w:rPr>
                    <w:t>8</w:t>
                  </w:r>
                </w:p>
              </w:tc>
              <w:tc>
                <w:tcPr>
                  <w:tcW w:w="1843" w:type="dxa"/>
                </w:tcPr>
                <w:p w:rsidR="00FF6F6A" w:rsidRDefault="00FF6F6A" w:rsidP="00FF6F6A">
                  <w:pPr>
                    <w:spacing w:after="0"/>
                    <w:jc w:val="center"/>
                    <w:rPr>
                      <w:b/>
                      <w:snapToGrid w:val="0"/>
                      <w:highlight w:val="yellow"/>
                    </w:rPr>
                  </w:pPr>
                </w:p>
              </w:tc>
            </w:tr>
          </w:tbl>
          <w:p w:rsidR="00FF6F6A" w:rsidRPr="002F17B5" w:rsidRDefault="00FF6F6A" w:rsidP="00FF6F6A">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FF6F6A" w:rsidRPr="00F477E0" w:rsidRDefault="00FF6F6A" w:rsidP="00FF6F6A">
            <w:pPr>
              <w:autoSpaceDE/>
              <w:autoSpaceDN/>
              <w:adjustRightInd/>
              <w:spacing w:after="0"/>
              <w:jc w:val="center"/>
              <w:rPr>
                <w:rFonts w:eastAsia="Times New Roman" w:cs="Arial"/>
                <w:color w:val="auto"/>
                <w:lang w:eastAsia="en-GB"/>
              </w:rPr>
            </w:pPr>
          </w:p>
        </w:tc>
      </w:tr>
      <w:tr w:rsidR="00D41D59" w:rsidTr="00FF6F6A">
        <w:trPr>
          <w:trHeight w:val="454"/>
        </w:trPr>
        <w:tc>
          <w:tcPr>
            <w:tcW w:w="10562" w:type="dxa"/>
            <w:tcBorders>
              <w:top w:val="nil"/>
              <w:left w:val="nil"/>
              <w:bottom w:val="nil"/>
              <w:right w:val="nil"/>
            </w:tcBorders>
            <w:shd w:val="clear" w:color="auto" w:fill="auto"/>
            <w:vAlign w:val="center"/>
          </w:tcPr>
          <w:p w:rsidR="00FF6F6A" w:rsidRPr="002F17B5" w:rsidRDefault="00FF6F6A" w:rsidP="00FF6F6A">
            <w:pPr>
              <w:autoSpaceDE/>
              <w:autoSpaceDN/>
              <w:adjustRightInd/>
              <w:spacing w:after="0"/>
              <w:ind w:left="459"/>
              <w:jc w:val="left"/>
              <w:rPr>
                <w:rFonts w:eastAsia="Times New Roman" w:cs="Arial"/>
                <w:lang w:eastAsia="en-GB"/>
              </w:rPr>
            </w:pPr>
          </w:p>
        </w:tc>
        <w:tc>
          <w:tcPr>
            <w:tcW w:w="791" w:type="dxa"/>
            <w:tcBorders>
              <w:top w:val="nil"/>
              <w:left w:val="nil"/>
              <w:bottom w:val="nil"/>
              <w:right w:val="nil"/>
            </w:tcBorders>
            <w:shd w:val="clear" w:color="auto" w:fill="auto"/>
            <w:noWrap/>
            <w:vAlign w:val="center"/>
          </w:tcPr>
          <w:p w:rsidR="00FF6F6A" w:rsidRPr="00F477E0" w:rsidRDefault="00FF6F6A" w:rsidP="00FF6F6A">
            <w:pPr>
              <w:autoSpaceDE/>
              <w:autoSpaceDN/>
              <w:adjustRightInd/>
              <w:spacing w:after="0"/>
              <w:jc w:val="center"/>
              <w:rPr>
                <w:rFonts w:eastAsia="Times New Roman" w:cs="Arial"/>
                <w:color w:val="auto"/>
                <w:lang w:eastAsia="en-GB"/>
              </w:rPr>
            </w:pPr>
          </w:p>
        </w:tc>
      </w:tr>
    </w:tbl>
    <w:p w:rsidR="00FF6F6A" w:rsidRDefault="00FF6F6A" w:rsidP="00FF6F6A">
      <w:pPr>
        <w:numPr>
          <w:ilvl w:val="0"/>
          <w:numId w:val="8"/>
        </w:numPr>
        <w:autoSpaceDE/>
        <w:autoSpaceDN/>
        <w:adjustRightInd/>
        <w:spacing w:after="0"/>
        <w:ind w:left="317" w:hanging="425"/>
        <w:jc w:val="left"/>
        <w:rPr>
          <w:b/>
          <w:snapToGrid w:val="0"/>
          <w:sz w:val="32"/>
          <w:szCs w:val="32"/>
        </w:rPr>
        <w:sectPr w:rsidR="00FF6F6A" w:rsidSect="00FF6F6A">
          <w:headerReference w:type="default" r:id="rId8"/>
          <w:footerReference w:type="default" r:id="rId9"/>
          <w:headerReference w:type="first" r:id="rId10"/>
          <w:pgSz w:w="11900" w:h="16840" w:code="9"/>
          <w:pgMar w:top="720" w:right="720" w:bottom="720" w:left="720" w:header="283" w:footer="283" w:gutter="0"/>
          <w:pgNumType w:start="1"/>
          <w:cols w:space="292"/>
          <w:docGrid w:linePitch="326"/>
        </w:sectPr>
      </w:pPr>
    </w:p>
    <w:p w:rsidR="00FF6F6A" w:rsidRDefault="00FF6F6A" w:rsidP="00FF6F6A">
      <w:pPr>
        <w:rPr>
          <w:rFonts w:eastAsia="Times New Roman" w:cs="Arial"/>
          <w:color w:val="auto"/>
          <w:lang w:eastAsia="en-GB"/>
        </w:rPr>
      </w:pPr>
    </w:p>
    <w:p w:rsidR="00E62B17" w:rsidRDefault="00E62B17" w:rsidP="00FF6F6A">
      <w:pPr>
        <w:rPr>
          <w:rFonts w:eastAsia="Times New Roman" w:cs="Arial"/>
          <w:color w:val="auto"/>
          <w:lang w:eastAsia="en-GB"/>
        </w:rPr>
      </w:pPr>
    </w:p>
    <w:p w:rsidR="00E62B17" w:rsidRDefault="00E62B17" w:rsidP="00FF6F6A">
      <w:pPr>
        <w:rPr>
          <w:rFonts w:eastAsia="Times New Roman" w:cs="Arial"/>
          <w:color w:val="auto"/>
          <w:lang w:eastAsia="en-GB"/>
        </w:rPr>
      </w:pPr>
    </w:p>
    <w:p w:rsidR="001A4667" w:rsidRDefault="001A4667" w:rsidP="00FF6F6A">
      <w:pPr>
        <w:rPr>
          <w:rFonts w:eastAsia="Times New Roman" w:cs="Arial"/>
          <w:color w:val="auto"/>
          <w:lang w:eastAsia="en-GB"/>
        </w:rPr>
      </w:pPr>
    </w:p>
    <w:p w:rsidR="001A4667" w:rsidRDefault="001A4667" w:rsidP="00FF6F6A">
      <w:pPr>
        <w:rPr>
          <w:rFonts w:eastAsia="Times New Roman" w:cs="Arial"/>
          <w:color w:val="auto"/>
          <w:lang w:eastAsia="en-GB"/>
        </w:rPr>
      </w:pPr>
    </w:p>
    <w:p w:rsidR="001A4667" w:rsidRDefault="001A4667" w:rsidP="00FF6F6A">
      <w:pPr>
        <w:rPr>
          <w:rFonts w:eastAsia="Times New Roman" w:cs="Arial"/>
          <w:color w:val="auto"/>
          <w:lang w:eastAsia="en-GB"/>
        </w:rPr>
      </w:pPr>
    </w:p>
    <w:p w:rsidR="00E62B17" w:rsidRDefault="00E62B17" w:rsidP="00E62B17">
      <w:pPr>
        <w:pStyle w:val="ListParagraph"/>
        <w:autoSpaceDE/>
        <w:autoSpaceDN/>
        <w:adjustRightInd/>
        <w:spacing w:after="0"/>
        <w:ind w:left="-74"/>
        <w:rPr>
          <w:rFonts w:eastAsia="Times New Roman" w:cs="Times New Roman"/>
          <w:b/>
          <w:snapToGrid w:val="0"/>
          <w:color w:val="auto"/>
          <w:sz w:val="32"/>
          <w:szCs w:val="32"/>
        </w:rPr>
      </w:pPr>
      <w:r>
        <w:rPr>
          <w:rFonts w:eastAsia="Times New Roman" w:cs="Times New Roman"/>
          <w:b/>
          <w:snapToGrid w:val="0"/>
          <w:color w:val="auto"/>
          <w:sz w:val="32"/>
          <w:szCs w:val="32"/>
        </w:rPr>
        <w:lastRenderedPageBreak/>
        <w:t>A  Management structure</w:t>
      </w:r>
    </w:p>
    <w:p w:rsidR="00E62B17" w:rsidRDefault="00E62B17" w:rsidP="00E62B17">
      <w:pPr>
        <w:pStyle w:val="ListParagraph"/>
        <w:autoSpaceDE/>
        <w:autoSpaceDN/>
        <w:adjustRightInd/>
        <w:spacing w:after="0"/>
        <w:ind w:left="-74"/>
        <w:rPr>
          <w:rFonts w:eastAsia="Times New Roman" w:cs="Times New Roman"/>
          <w:b/>
          <w:snapToGrid w:val="0"/>
          <w:color w:val="auto"/>
          <w:sz w:val="32"/>
          <w:szCs w:val="32"/>
        </w:rPr>
      </w:pPr>
    </w:p>
    <w:p w:rsidR="00E62B17" w:rsidRDefault="00E62B17" w:rsidP="00E62B17">
      <w:pPr>
        <w:pStyle w:val="ListParagraph"/>
        <w:autoSpaceDE/>
        <w:autoSpaceDN/>
        <w:adjustRightInd/>
        <w:spacing w:after="0"/>
        <w:ind w:left="-74"/>
        <w:rPr>
          <w:rFonts w:eastAsia="Times New Roman" w:cs="Times New Roman"/>
          <w:snapToGrid w:val="0"/>
          <w:color w:val="auto"/>
          <w:sz w:val="32"/>
          <w:szCs w:val="32"/>
        </w:rPr>
        <w:sectPr w:rsidR="00E62B17" w:rsidSect="00FF6F6A">
          <w:type w:val="continuous"/>
          <w:pgSz w:w="11900" w:h="16840" w:code="9"/>
          <w:pgMar w:top="720" w:right="720" w:bottom="720" w:left="720" w:header="283" w:footer="283" w:gutter="0"/>
          <w:cols w:space="292"/>
          <w:docGrid w:linePitch="326"/>
        </w:sectPr>
      </w:pPr>
    </w:p>
    <w:p w:rsidR="00E62B17" w:rsidRPr="00A66950" w:rsidRDefault="00E62B17" w:rsidP="00E62B17">
      <w:pPr>
        <w:pStyle w:val="ListParagraph"/>
        <w:autoSpaceDE/>
        <w:autoSpaceDN/>
        <w:adjustRightInd/>
        <w:spacing w:after="0"/>
        <w:ind w:left="-74"/>
        <w:rPr>
          <w:rFonts w:eastAsia="Times New Roman" w:cs="Times New Roman"/>
          <w:b/>
          <w:snapToGrid w:val="0"/>
          <w:color w:val="auto"/>
          <w:sz w:val="32"/>
          <w:szCs w:val="32"/>
        </w:rPr>
      </w:pPr>
      <w:r w:rsidRPr="00A66950">
        <w:rPr>
          <w:rFonts w:eastAsia="Times New Roman" w:cs="Times New Roman"/>
          <w:b/>
          <w:snapToGrid w:val="0"/>
          <w:color w:val="auto"/>
          <w:sz w:val="32"/>
          <w:szCs w:val="32"/>
        </w:rPr>
        <w:t>Scheme management and advisors</w:t>
      </w:r>
    </w:p>
    <w:p w:rsidR="00E62B17" w:rsidRDefault="00E62B17" w:rsidP="00E62B17">
      <w:pPr>
        <w:pStyle w:val="ListParagraph"/>
        <w:autoSpaceDE/>
        <w:autoSpaceDN/>
        <w:adjustRightInd/>
        <w:spacing w:after="0"/>
        <w:ind w:left="-74"/>
        <w:rPr>
          <w:rFonts w:eastAsia="Times New Roman" w:cs="Times New Roman"/>
          <w:snapToGrid w:val="0"/>
          <w:color w:val="auto"/>
          <w:sz w:val="32"/>
          <w:szCs w:val="32"/>
        </w:rPr>
      </w:pPr>
    </w:p>
    <w:p w:rsidR="00F64BD7" w:rsidRDefault="00F64BD7" w:rsidP="00E62B17">
      <w:pPr>
        <w:pStyle w:val="ListParagraph"/>
        <w:autoSpaceDE/>
        <w:autoSpaceDN/>
        <w:adjustRightInd/>
        <w:spacing w:after="0"/>
        <w:ind w:left="-74"/>
        <w:rPr>
          <w:rFonts w:eastAsia="Times New Roman" w:cs="Times New Roman"/>
          <w:snapToGrid w:val="0"/>
          <w:color w:val="auto"/>
          <w:sz w:val="28"/>
          <w:szCs w:val="28"/>
        </w:rPr>
        <w:sectPr w:rsidR="00F64BD7" w:rsidSect="00FF6F6A">
          <w:type w:val="continuous"/>
          <w:pgSz w:w="11900" w:h="16840" w:code="9"/>
          <w:pgMar w:top="720" w:right="720" w:bottom="720" w:left="720" w:header="283" w:footer="283" w:gutter="0"/>
          <w:cols w:space="292"/>
          <w:docGrid w:linePitch="326"/>
        </w:sectPr>
      </w:pPr>
    </w:p>
    <w:p w:rsidR="00E62B17" w:rsidRPr="00A66950" w:rsidRDefault="00E62B17" w:rsidP="00E62B17">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Administering authority</w:t>
      </w:r>
    </w:p>
    <w:p w:rsidR="001117AE" w:rsidRPr="00A66950" w:rsidRDefault="001117AE" w:rsidP="00E62B17">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Lancashire County Council</w:t>
      </w:r>
    </w:p>
    <w:p w:rsidR="001117AE" w:rsidRPr="00A66950" w:rsidRDefault="001117AE" w:rsidP="00E62B17">
      <w:pPr>
        <w:pStyle w:val="ListParagraph"/>
        <w:autoSpaceDE/>
        <w:autoSpaceDN/>
        <w:adjustRightInd/>
        <w:spacing w:after="0"/>
        <w:ind w:left="-74"/>
        <w:rPr>
          <w:rFonts w:eastAsia="Times New Roman" w:cs="Times New Roman"/>
          <w:snapToGrid w:val="0"/>
          <w:color w:val="auto"/>
          <w:sz w:val="20"/>
          <w:szCs w:val="20"/>
        </w:rPr>
      </w:pPr>
    </w:p>
    <w:p w:rsidR="001117AE" w:rsidRPr="00A66950" w:rsidRDefault="001117AE"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Pension fund committee</w:t>
      </w:r>
    </w:p>
    <w:p w:rsidR="001117AE" w:rsidRPr="00DA2DD1" w:rsidRDefault="001117AE" w:rsidP="001117AE">
      <w:pPr>
        <w:pStyle w:val="ListParagraph"/>
        <w:autoSpaceDE/>
        <w:autoSpaceDN/>
        <w:adjustRightInd/>
        <w:spacing w:after="0"/>
        <w:ind w:left="-74"/>
        <w:rPr>
          <w:rFonts w:eastAsia="Times New Roman" w:cs="Times New Roman"/>
          <w:snapToGrid w:val="0"/>
          <w:color w:val="auto"/>
          <w:sz w:val="20"/>
          <w:szCs w:val="20"/>
          <w:u w:val="single"/>
        </w:rPr>
      </w:pPr>
      <w:r w:rsidRPr="00DA2DD1">
        <w:rPr>
          <w:rFonts w:eastAsia="Times New Roman" w:cs="Times New Roman"/>
          <w:snapToGrid w:val="0"/>
          <w:color w:val="auto"/>
          <w:sz w:val="20"/>
          <w:szCs w:val="20"/>
          <w:u w:val="single"/>
        </w:rPr>
        <w:t>Lancashire County Council</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J Burrows*</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S Clarke*</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G Dowding*</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C Edwards*</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K Ellard*</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J Fillis**</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T Martin*</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J Mein*</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E Pope (Chair)*</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A Riggott*</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A Schofield (Deputy chair)*</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K Snape***</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CC A Snowden*</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p>
    <w:p w:rsidR="0011793E" w:rsidRDefault="001117AE" w:rsidP="0011793E">
      <w:pPr>
        <w:pStyle w:val="ListParagraph"/>
        <w:autoSpaceDE/>
        <w:autoSpaceDN/>
        <w:adjustRightInd/>
        <w:spacing w:after="0"/>
        <w:ind w:left="-74"/>
        <w:rPr>
          <w:rFonts w:eastAsia="Times New Roman" w:cs="Times New Roman"/>
          <w:snapToGrid w:val="0"/>
          <w:color w:val="auto"/>
          <w:sz w:val="20"/>
          <w:szCs w:val="20"/>
        </w:rPr>
      </w:pPr>
      <w:r w:rsidRPr="0011793E">
        <w:rPr>
          <w:rFonts w:eastAsia="Times New Roman" w:cs="Times New Roman"/>
          <w:snapToGrid w:val="0"/>
          <w:color w:val="auto"/>
          <w:sz w:val="20"/>
          <w:szCs w:val="20"/>
        </w:rPr>
        <w:t>*Appointed 25 May 2017</w:t>
      </w:r>
    </w:p>
    <w:p w:rsidR="0011793E" w:rsidRDefault="001117AE" w:rsidP="0011793E">
      <w:pPr>
        <w:pStyle w:val="ListParagraph"/>
        <w:autoSpaceDE/>
        <w:autoSpaceDN/>
        <w:adjustRightInd/>
        <w:spacing w:after="0"/>
        <w:ind w:left="-74"/>
        <w:rPr>
          <w:rFonts w:eastAsia="Times New Roman" w:cs="Times New Roman"/>
          <w:snapToGrid w:val="0"/>
          <w:color w:val="auto"/>
          <w:sz w:val="20"/>
          <w:szCs w:val="20"/>
        </w:rPr>
      </w:pPr>
      <w:r w:rsidRPr="0011793E">
        <w:rPr>
          <w:rFonts w:eastAsia="Times New Roman" w:cs="Times New Roman"/>
          <w:snapToGrid w:val="0"/>
          <w:color w:val="auto"/>
          <w:sz w:val="20"/>
          <w:szCs w:val="20"/>
        </w:rPr>
        <w:t>**Until 24 May 2018</w:t>
      </w:r>
    </w:p>
    <w:p w:rsidR="001117AE" w:rsidRPr="0011793E" w:rsidRDefault="001117AE" w:rsidP="0011793E">
      <w:pPr>
        <w:pStyle w:val="ListParagraph"/>
        <w:autoSpaceDE/>
        <w:autoSpaceDN/>
        <w:adjustRightInd/>
        <w:spacing w:after="0"/>
        <w:ind w:left="-74"/>
        <w:rPr>
          <w:rFonts w:eastAsia="Times New Roman" w:cs="Times New Roman"/>
          <w:snapToGrid w:val="0"/>
          <w:color w:val="auto"/>
          <w:sz w:val="20"/>
          <w:szCs w:val="20"/>
        </w:rPr>
      </w:pPr>
      <w:r w:rsidRPr="0011793E">
        <w:rPr>
          <w:rFonts w:eastAsia="Times New Roman" w:cs="Times New Roman"/>
          <w:snapToGrid w:val="0"/>
          <w:color w:val="auto"/>
          <w:sz w:val="20"/>
          <w:szCs w:val="20"/>
        </w:rPr>
        <w:t>***Appointed 24 May 2018</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p>
    <w:p w:rsidR="001117AE" w:rsidRPr="00DA2DD1" w:rsidRDefault="0011793E" w:rsidP="001117AE">
      <w:pPr>
        <w:pStyle w:val="ListParagraph"/>
        <w:autoSpaceDE/>
        <w:autoSpaceDN/>
        <w:adjustRightInd/>
        <w:spacing w:after="0"/>
        <w:ind w:left="-74"/>
        <w:rPr>
          <w:rFonts w:eastAsia="Times New Roman" w:cs="Times New Roman"/>
          <w:snapToGrid w:val="0"/>
          <w:color w:val="auto"/>
          <w:sz w:val="20"/>
          <w:szCs w:val="20"/>
          <w:u w:val="single"/>
        </w:rPr>
      </w:pPr>
      <w:r w:rsidRPr="00DA2DD1">
        <w:rPr>
          <w:rFonts w:eastAsia="Times New Roman" w:cs="Times New Roman"/>
          <w:snapToGrid w:val="0"/>
          <w:color w:val="auto"/>
          <w:sz w:val="20"/>
          <w:szCs w:val="20"/>
          <w:u w:val="single"/>
        </w:rPr>
        <w:t>Co-opted representatives</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P Crewe – Trade union</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J Tattersall – Trade union</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 xml:space="preserve">D Borrow – </w:t>
      </w:r>
      <w:r w:rsidR="00A945FB">
        <w:rPr>
          <w:rFonts w:eastAsia="Times New Roman" w:cs="Times New Roman"/>
          <w:snapToGrid w:val="0"/>
          <w:color w:val="auto"/>
          <w:sz w:val="20"/>
          <w:szCs w:val="20"/>
        </w:rPr>
        <w:t>Borough, City and District councils</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 xml:space="preserve">I Moran – </w:t>
      </w:r>
      <w:r w:rsidR="00A945FB">
        <w:rPr>
          <w:rFonts w:eastAsia="Times New Roman" w:cs="Times New Roman"/>
          <w:snapToGrid w:val="0"/>
          <w:color w:val="auto"/>
          <w:sz w:val="20"/>
          <w:szCs w:val="20"/>
        </w:rPr>
        <w:t>Borough, City and District councils</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M Smith – Blackpool Council</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R Whittle – Blackburn with Darwen Council</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J Eastham – Further / Higher education institutions</w:t>
      </w:r>
    </w:p>
    <w:p w:rsidR="001117AE" w:rsidRPr="00A66950" w:rsidRDefault="001117AE" w:rsidP="001117AE">
      <w:pPr>
        <w:pStyle w:val="ListParagraph"/>
        <w:autoSpaceDE/>
        <w:autoSpaceDN/>
        <w:adjustRightInd/>
        <w:spacing w:after="0"/>
        <w:ind w:left="-74"/>
        <w:rPr>
          <w:rFonts w:eastAsia="Times New Roman" w:cs="Times New Roman"/>
          <w:snapToGrid w:val="0"/>
          <w:color w:val="auto"/>
          <w:sz w:val="20"/>
          <w:szCs w:val="20"/>
        </w:rPr>
      </w:pPr>
    </w:p>
    <w:p w:rsidR="001117AE" w:rsidRPr="00A66950" w:rsidRDefault="0011793E"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Head of Fund</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A Leech</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rPr>
      </w:pPr>
    </w:p>
    <w:p w:rsidR="0011793E" w:rsidRPr="00A66950" w:rsidRDefault="0011793E"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Chief Executive and Director of Resources</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A Ridgwell</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rPr>
      </w:pPr>
    </w:p>
    <w:p w:rsidR="0011793E" w:rsidRPr="00A66950" w:rsidRDefault="0011793E"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Director of Financial Resources</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N Kissock</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rPr>
      </w:pPr>
    </w:p>
    <w:p w:rsidR="0011793E" w:rsidRPr="00A66950" w:rsidRDefault="0011793E"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Custodian to the Fund</w:t>
      </w:r>
    </w:p>
    <w:p w:rsidR="0011793E" w:rsidRPr="00A66950" w:rsidRDefault="0011793E"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Northern Trust</w:t>
      </w:r>
    </w:p>
    <w:p w:rsidR="00772F1E" w:rsidRPr="00A66950" w:rsidRDefault="00772F1E" w:rsidP="001117AE">
      <w:pPr>
        <w:pStyle w:val="ListParagraph"/>
        <w:autoSpaceDE/>
        <w:autoSpaceDN/>
        <w:adjustRightInd/>
        <w:spacing w:after="0"/>
        <w:ind w:left="-74"/>
        <w:rPr>
          <w:rFonts w:eastAsia="Times New Roman" w:cs="Times New Roman"/>
          <w:snapToGrid w:val="0"/>
          <w:color w:val="auto"/>
          <w:sz w:val="20"/>
        </w:rPr>
      </w:pPr>
    </w:p>
    <w:p w:rsidR="00772F1E" w:rsidRPr="00A66950" w:rsidRDefault="00772F1E"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External auditor</w:t>
      </w:r>
    </w:p>
    <w:p w:rsidR="00772F1E" w:rsidRPr="00A66950" w:rsidRDefault="00772F1E"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Grant Thornton UK LLP</w:t>
      </w:r>
    </w:p>
    <w:p w:rsidR="00F64BD7" w:rsidRDefault="00F64BD7" w:rsidP="001117AE">
      <w:pPr>
        <w:pStyle w:val="ListParagraph"/>
        <w:autoSpaceDE/>
        <w:autoSpaceDN/>
        <w:adjustRightInd/>
        <w:spacing w:after="0"/>
        <w:ind w:left="-74"/>
        <w:rPr>
          <w:rFonts w:eastAsia="Times New Roman" w:cs="Times New Roman"/>
          <w:snapToGrid w:val="0"/>
          <w:color w:val="auto"/>
          <w:sz w:val="20"/>
        </w:rPr>
      </w:pPr>
    </w:p>
    <w:p w:rsidR="00A66950" w:rsidRPr="007F4925" w:rsidRDefault="00A66950" w:rsidP="00A66950">
      <w:pPr>
        <w:pStyle w:val="ListParagraph"/>
        <w:autoSpaceDE/>
        <w:autoSpaceDN/>
        <w:adjustRightInd/>
        <w:spacing w:after="0"/>
        <w:ind w:left="-74"/>
        <w:rPr>
          <w:rFonts w:eastAsia="Times New Roman" w:cs="Times New Roman"/>
          <w:b/>
          <w:snapToGrid w:val="0"/>
          <w:color w:val="auto"/>
          <w:szCs w:val="28"/>
        </w:rPr>
      </w:pPr>
      <w:r w:rsidRPr="007F4925">
        <w:rPr>
          <w:rFonts w:eastAsia="Times New Roman" w:cs="Times New Roman"/>
          <w:b/>
          <w:snapToGrid w:val="0"/>
          <w:color w:val="auto"/>
          <w:szCs w:val="28"/>
        </w:rPr>
        <w:t>Investment managers</w:t>
      </w:r>
    </w:p>
    <w:p w:rsidR="00A66950" w:rsidRPr="007F4925" w:rsidRDefault="00A66950" w:rsidP="00A66950">
      <w:pPr>
        <w:pStyle w:val="ListParagraph"/>
        <w:autoSpaceDE/>
        <w:autoSpaceDN/>
        <w:adjustRightInd/>
        <w:spacing w:after="0"/>
        <w:ind w:left="-74"/>
        <w:rPr>
          <w:rFonts w:eastAsia="Times New Roman" w:cs="Times New Roman"/>
          <w:snapToGrid w:val="0"/>
          <w:color w:val="auto"/>
          <w:sz w:val="20"/>
          <w:szCs w:val="20"/>
        </w:rPr>
      </w:pPr>
      <w:r w:rsidRPr="007F4925">
        <w:rPr>
          <w:rFonts w:eastAsia="Times New Roman" w:cs="Times New Roman"/>
          <w:snapToGrid w:val="0"/>
          <w:color w:val="auto"/>
          <w:sz w:val="20"/>
          <w:szCs w:val="20"/>
        </w:rPr>
        <w:t>Capital Dynamics</w:t>
      </w:r>
    </w:p>
    <w:p w:rsidR="00A66950" w:rsidRPr="007F4925" w:rsidRDefault="00A66950" w:rsidP="00A66950">
      <w:pPr>
        <w:pStyle w:val="ListParagraph"/>
        <w:autoSpaceDE/>
        <w:autoSpaceDN/>
        <w:adjustRightInd/>
        <w:spacing w:after="0"/>
        <w:ind w:left="-74"/>
        <w:rPr>
          <w:rFonts w:eastAsia="Times New Roman" w:cs="Times New Roman"/>
          <w:snapToGrid w:val="0"/>
          <w:color w:val="auto"/>
          <w:sz w:val="20"/>
          <w:szCs w:val="20"/>
        </w:rPr>
      </w:pPr>
      <w:r w:rsidRPr="007F4925">
        <w:rPr>
          <w:rFonts w:eastAsia="Times New Roman" w:cs="Times New Roman"/>
          <w:snapToGrid w:val="0"/>
          <w:color w:val="auto"/>
          <w:sz w:val="20"/>
          <w:szCs w:val="20"/>
        </w:rPr>
        <w:t>Knight Frank</w:t>
      </w:r>
    </w:p>
    <w:p w:rsidR="00A66950" w:rsidRPr="007F4925" w:rsidRDefault="00A66950" w:rsidP="00A66950">
      <w:pPr>
        <w:pStyle w:val="ListParagraph"/>
        <w:autoSpaceDE/>
        <w:autoSpaceDN/>
        <w:adjustRightInd/>
        <w:spacing w:after="0"/>
        <w:ind w:left="-74"/>
        <w:rPr>
          <w:rFonts w:eastAsia="Times New Roman" w:cs="Times New Roman"/>
          <w:snapToGrid w:val="0"/>
          <w:color w:val="auto"/>
        </w:rPr>
      </w:pPr>
      <w:r w:rsidRPr="007F4925">
        <w:rPr>
          <w:rFonts w:eastAsia="Times New Roman" w:cs="Times New Roman"/>
          <w:snapToGrid w:val="0"/>
          <w:color w:val="auto"/>
          <w:sz w:val="20"/>
          <w:szCs w:val="20"/>
        </w:rPr>
        <w:t>Local Pensions Partnership</w:t>
      </w:r>
    </w:p>
    <w:p w:rsidR="00A66950" w:rsidRDefault="00A66950" w:rsidP="001117AE">
      <w:pPr>
        <w:pStyle w:val="ListParagraph"/>
        <w:autoSpaceDE/>
        <w:autoSpaceDN/>
        <w:adjustRightInd/>
        <w:spacing w:after="0"/>
        <w:ind w:left="-74"/>
        <w:rPr>
          <w:rFonts w:eastAsia="Times New Roman" w:cs="Times New Roman"/>
          <w:snapToGrid w:val="0"/>
          <w:color w:val="auto"/>
          <w:sz w:val="20"/>
        </w:rPr>
      </w:pPr>
    </w:p>
    <w:p w:rsidR="00A66950" w:rsidRPr="007F4925" w:rsidRDefault="00A66950" w:rsidP="00A66950">
      <w:pPr>
        <w:pStyle w:val="ListParagraph"/>
        <w:autoSpaceDE/>
        <w:autoSpaceDN/>
        <w:adjustRightInd/>
        <w:spacing w:after="0"/>
        <w:ind w:left="-74"/>
        <w:rPr>
          <w:rFonts w:eastAsia="Times New Roman" w:cs="Times New Roman"/>
          <w:b/>
          <w:snapToGrid w:val="0"/>
          <w:color w:val="auto"/>
        </w:rPr>
      </w:pPr>
      <w:r w:rsidRPr="007F4925">
        <w:rPr>
          <w:rFonts w:eastAsia="Times New Roman" w:cs="Times New Roman"/>
          <w:b/>
          <w:snapToGrid w:val="0"/>
          <w:color w:val="auto"/>
        </w:rPr>
        <w:t>Actuary</w:t>
      </w:r>
    </w:p>
    <w:p w:rsidR="00A66950" w:rsidRPr="007F4925" w:rsidRDefault="00A66950" w:rsidP="00A66950">
      <w:pPr>
        <w:pStyle w:val="ListParagraph"/>
        <w:autoSpaceDE/>
        <w:autoSpaceDN/>
        <w:adjustRightInd/>
        <w:spacing w:after="0"/>
        <w:ind w:left="-74"/>
        <w:rPr>
          <w:rFonts w:eastAsia="Times New Roman" w:cs="Times New Roman"/>
          <w:snapToGrid w:val="0"/>
          <w:color w:val="auto"/>
          <w:sz w:val="20"/>
          <w:szCs w:val="20"/>
        </w:rPr>
      </w:pPr>
      <w:r w:rsidRPr="007F4925">
        <w:rPr>
          <w:rFonts w:eastAsia="Times New Roman" w:cs="Times New Roman"/>
          <w:snapToGrid w:val="0"/>
          <w:color w:val="auto"/>
          <w:sz w:val="20"/>
          <w:szCs w:val="20"/>
        </w:rPr>
        <w:t>Mercers</w:t>
      </w:r>
    </w:p>
    <w:p w:rsidR="00A66950" w:rsidRPr="00A66950" w:rsidRDefault="00A66950" w:rsidP="001117AE">
      <w:pPr>
        <w:pStyle w:val="ListParagraph"/>
        <w:autoSpaceDE/>
        <w:autoSpaceDN/>
        <w:adjustRightInd/>
        <w:spacing w:after="0"/>
        <w:ind w:left="-74"/>
        <w:rPr>
          <w:rFonts w:eastAsia="Times New Roman" w:cs="Times New Roman"/>
          <w:snapToGrid w:val="0"/>
          <w:color w:val="auto"/>
          <w:sz w:val="20"/>
        </w:rPr>
      </w:pPr>
    </w:p>
    <w:p w:rsidR="00A66950" w:rsidRDefault="00A66950" w:rsidP="001117AE">
      <w:pPr>
        <w:pStyle w:val="ListParagraph"/>
        <w:autoSpaceDE/>
        <w:autoSpaceDN/>
        <w:adjustRightInd/>
        <w:spacing w:after="0"/>
        <w:ind w:left="-74"/>
        <w:rPr>
          <w:rFonts w:eastAsia="Times New Roman" w:cs="Times New Roman"/>
          <w:b/>
          <w:snapToGrid w:val="0"/>
          <w:color w:val="auto"/>
          <w:szCs w:val="28"/>
        </w:rPr>
      </w:pPr>
    </w:p>
    <w:p w:rsidR="00A66950" w:rsidRPr="00A66950" w:rsidRDefault="00A66950" w:rsidP="001117AE">
      <w:pPr>
        <w:pStyle w:val="ListParagraph"/>
        <w:autoSpaceDE/>
        <w:autoSpaceDN/>
        <w:adjustRightInd/>
        <w:spacing w:after="0"/>
        <w:ind w:left="-74"/>
        <w:rPr>
          <w:rFonts w:eastAsia="Times New Roman" w:cs="Times New Roman"/>
          <w:b/>
          <w:snapToGrid w:val="0"/>
          <w:color w:val="auto"/>
          <w:sz w:val="20"/>
          <w:szCs w:val="20"/>
        </w:rPr>
      </w:pPr>
    </w:p>
    <w:p w:rsidR="00A66950" w:rsidRPr="00A66950" w:rsidRDefault="00A66950" w:rsidP="001117AE">
      <w:pPr>
        <w:pStyle w:val="ListParagraph"/>
        <w:autoSpaceDE/>
        <w:autoSpaceDN/>
        <w:adjustRightInd/>
        <w:spacing w:after="0"/>
        <w:ind w:left="-74"/>
        <w:rPr>
          <w:rFonts w:eastAsia="Times New Roman" w:cs="Times New Roman"/>
          <w:b/>
          <w:snapToGrid w:val="0"/>
          <w:color w:val="auto"/>
          <w:sz w:val="20"/>
          <w:szCs w:val="20"/>
        </w:rPr>
      </w:pPr>
    </w:p>
    <w:p w:rsidR="00DA2DD1" w:rsidRDefault="00DA2DD1" w:rsidP="001117AE">
      <w:pPr>
        <w:pStyle w:val="ListParagraph"/>
        <w:autoSpaceDE/>
        <w:autoSpaceDN/>
        <w:adjustRightInd/>
        <w:spacing w:after="0"/>
        <w:ind w:left="-74"/>
        <w:rPr>
          <w:rFonts w:eastAsia="Times New Roman" w:cs="Times New Roman"/>
          <w:b/>
          <w:snapToGrid w:val="0"/>
          <w:color w:val="auto"/>
          <w:szCs w:val="28"/>
        </w:rPr>
      </w:pPr>
    </w:p>
    <w:p w:rsidR="00693AD9" w:rsidRDefault="00693AD9" w:rsidP="001117AE">
      <w:pPr>
        <w:pStyle w:val="ListParagraph"/>
        <w:autoSpaceDE/>
        <w:autoSpaceDN/>
        <w:adjustRightInd/>
        <w:spacing w:after="0"/>
        <w:ind w:left="-74"/>
        <w:rPr>
          <w:rFonts w:eastAsia="Times New Roman" w:cs="Times New Roman"/>
          <w:b/>
          <w:snapToGrid w:val="0"/>
          <w:color w:val="auto"/>
          <w:sz w:val="28"/>
          <w:szCs w:val="28"/>
        </w:rPr>
      </w:pPr>
      <w:r w:rsidRPr="00A66950">
        <w:rPr>
          <w:rFonts w:eastAsia="Times New Roman" w:cs="Times New Roman"/>
          <w:b/>
          <w:snapToGrid w:val="0"/>
          <w:color w:val="auto"/>
          <w:szCs w:val="28"/>
        </w:rPr>
        <w:t>Lancashire Local Pension Board</w:t>
      </w:r>
    </w:p>
    <w:p w:rsidR="00693AD9" w:rsidRPr="00A66950" w:rsidRDefault="00693AD9"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W Bourne (Chair)</w:t>
      </w:r>
    </w:p>
    <w:p w:rsidR="00693AD9" w:rsidRPr="00A66950" w:rsidRDefault="00693AD9"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S Browne</w:t>
      </w:r>
      <w:r w:rsidR="00F64BD7" w:rsidRPr="00A66950">
        <w:rPr>
          <w:rFonts w:eastAsia="Times New Roman" w:cs="Times New Roman"/>
          <w:snapToGrid w:val="0"/>
          <w:color w:val="auto"/>
          <w:sz w:val="20"/>
        </w:rPr>
        <w:t>*</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C Gibson</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K Haigh</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J Hall**</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B Harvey</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Y Moult</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T Pounder</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 xml:space="preserve">S Thompson </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CC Wakefield</w:t>
      </w:r>
    </w:p>
    <w:p w:rsidR="00F64BD7" w:rsidRPr="00A66950" w:rsidRDefault="00F64BD7" w:rsidP="001117AE">
      <w:pPr>
        <w:pStyle w:val="ListParagraph"/>
        <w:autoSpaceDE/>
        <w:autoSpaceDN/>
        <w:adjustRightInd/>
        <w:spacing w:after="0"/>
        <w:ind w:left="-74"/>
        <w:rPr>
          <w:rFonts w:eastAsia="Times New Roman" w:cs="Times New Roman"/>
          <w:snapToGrid w:val="0"/>
          <w:color w:val="auto"/>
          <w:sz w:val="20"/>
        </w:rPr>
      </w:pPr>
    </w:p>
    <w:p w:rsidR="00F64BD7" w:rsidRDefault="00F64BD7" w:rsidP="00A66950">
      <w:pPr>
        <w:autoSpaceDE/>
        <w:autoSpaceDN/>
        <w:adjustRightInd/>
        <w:spacing w:after="0"/>
        <w:rPr>
          <w:rFonts w:eastAsia="Times New Roman" w:cs="Times New Roman"/>
          <w:snapToGrid w:val="0"/>
          <w:color w:val="auto"/>
          <w:sz w:val="20"/>
          <w:szCs w:val="20"/>
        </w:rPr>
      </w:pPr>
      <w:r>
        <w:rPr>
          <w:rFonts w:eastAsia="Times New Roman" w:cs="Times New Roman"/>
          <w:snapToGrid w:val="0"/>
          <w:color w:val="auto"/>
          <w:sz w:val="20"/>
          <w:szCs w:val="20"/>
        </w:rPr>
        <w:t>*Until January 2018</w:t>
      </w:r>
    </w:p>
    <w:p w:rsidR="00F64BD7" w:rsidRPr="00A66950" w:rsidRDefault="00F64BD7" w:rsidP="00A66950">
      <w:pPr>
        <w:autoSpaceDE/>
        <w:autoSpaceDN/>
        <w:adjustRightInd/>
        <w:spacing w:after="0"/>
        <w:rPr>
          <w:rFonts w:eastAsia="Times New Roman" w:cs="Times New Roman"/>
          <w:snapToGrid w:val="0"/>
          <w:color w:val="auto"/>
          <w:sz w:val="20"/>
          <w:szCs w:val="20"/>
        </w:rPr>
      </w:pPr>
      <w:r>
        <w:rPr>
          <w:rFonts w:eastAsia="Times New Roman" w:cs="Times New Roman"/>
          <w:snapToGrid w:val="0"/>
          <w:color w:val="auto"/>
          <w:sz w:val="20"/>
          <w:szCs w:val="20"/>
        </w:rPr>
        <w:t>**Until October 2017</w:t>
      </w:r>
    </w:p>
    <w:p w:rsidR="00693AD9" w:rsidRPr="00A66950" w:rsidRDefault="00693AD9" w:rsidP="001117AE">
      <w:pPr>
        <w:pStyle w:val="ListParagraph"/>
        <w:autoSpaceDE/>
        <w:autoSpaceDN/>
        <w:adjustRightInd/>
        <w:spacing w:after="0"/>
        <w:ind w:left="-74"/>
        <w:rPr>
          <w:rFonts w:eastAsia="Times New Roman" w:cs="Times New Roman"/>
          <w:b/>
          <w:snapToGrid w:val="0"/>
          <w:color w:val="auto"/>
          <w:sz w:val="20"/>
          <w:szCs w:val="28"/>
        </w:rPr>
      </w:pPr>
    </w:p>
    <w:p w:rsidR="008F3AEA" w:rsidRPr="00A66950" w:rsidRDefault="008F3AEA"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Tax advisor</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KPMG UK</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p>
    <w:p w:rsidR="008F3AEA" w:rsidRPr="00A66950" w:rsidRDefault="008F3AEA"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Independent investment advisors</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A Devitt</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rPr>
      </w:pPr>
      <w:r w:rsidRPr="00A66950">
        <w:rPr>
          <w:rFonts w:eastAsia="Times New Roman" w:cs="Times New Roman"/>
          <w:snapToGrid w:val="0"/>
          <w:color w:val="auto"/>
          <w:sz w:val="20"/>
        </w:rPr>
        <w:t>E Lambert</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rPr>
      </w:pPr>
    </w:p>
    <w:p w:rsidR="008F3AEA" w:rsidRPr="00A66950" w:rsidRDefault="008F3AEA" w:rsidP="001117AE">
      <w:pPr>
        <w:pStyle w:val="ListParagraph"/>
        <w:autoSpaceDE/>
        <w:autoSpaceDN/>
        <w:adjustRightInd/>
        <w:spacing w:after="0"/>
        <w:ind w:left="-74"/>
        <w:rPr>
          <w:rFonts w:eastAsia="Times New Roman" w:cs="Times New Roman"/>
          <w:b/>
          <w:snapToGrid w:val="0"/>
          <w:color w:val="auto"/>
          <w:sz w:val="22"/>
          <w:szCs w:val="22"/>
        </w:rPr>
      </w:pPr>
      <w:r w:rsidRPr="00A66950">
        <w:rPr>
          <w:rFonts w:eastAsia="Times New Roman" w:cs="Times New Roman"/>
          <w:b/>
          <w:snapToGrid w:val="0"/>
          <w:color w:val="auto"/>
          <w:sz w:val="22"/>
          <w:szCs w:val="22"/>
        </w:rPr>
        <w:t>AVC providers</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Equitable Life</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Prudential</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p>
    <w:p w:rsidR="008F3AEA" w:rsidRPr="00A66950" w:rsidRDefault="008F3AEA"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Legal advisors (non</w:t>
      </w:r>
      <w:r w:rsidR="00A66950">
        <w:rPr>
          <w:rFonts w:eastAsia="Times New Roman" w:cs="Times New Roman"/>
          <w:b/>
          <w:snapToGrid w:val="0"/>
          <w:color w:val="auto"/>
        </w:rPr>
        <w:t>-</w:t>
      </w:r>
      <w:r w:rsidRPr="00A66950">
        <w:rPr>
          <w:rFonts w:eastAsia="Times New Roman" w:cs="Times New Roman"/>
          <w:b/>
          <w:snapToGrid w:val="0"/>
          <w:color w:val="auto"/>
        </w:rPr>
        <w:t>property)</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Lancashire County Council</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Addleshaw Goddard</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Allen and Overy</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Clifford Chance</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Eversheds</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MacFarlanes</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Taylor Wessing</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p>
    <w:p w:rsidR="008F3AEA" w:rsidRPr="00A66950" w:rsidRDefault="008F3AEA"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Property solicitors</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DWF</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Pinsent Masons</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p>
    <w:p w:rsidR="008F3AEA" w:rsidRPr="00A66950" w:rsidRDefault="008F3AEA"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Independent property valuer</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Bilfinger GVA</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p>
    <w:p w:rsidR="008F3AEA" w:rsidRPr="00A66950" w:rsidRDefault="008F3AEA"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Performance measurement</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Northern Trust</w:t>
      </w:r>
    </w:p>
    <w:p w:rsidR="008F3AEA" w:rsidRPr="00A66950" w:rsidRDefault="008F3AEA" w:rsidP="001117AE">
      <w:pPr>
        <w:pStyle w:val="ListParagraph"/>
        <w:autoSpaceDE/>
        <w:autoSpaceDN/>
        <w:adjustRightInd/>
        <w:spacing w:after="0"/>
        <w:ind w:left="-74"/>
        <w:rPr>
          <w:rFonts w:eastAsia="Times New Roman" w:cs="Times New Roman"/>
          <w:snapToGrid w:val="0"/>
          <w:color w:val="auto"/>
          <w:sz w:val="20"/>
          <w:szCs w:val="20"/>
        </w:rPr>
      </w:pPr>
    </w:p>
    <w:p w:rsidR="008F3AEA" w:rsidRPr="00A66950" w:rsidRDefault="00693AD9"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Governance advisors</w:t>
      </w:r>
    </w:p>
    <w:p w:rsidR="00693AD9" w:rsidRPr="00A66950" w:rsidRDefault="00693AD9"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Institutional Shareholder Services</w:t>
      </w:r>
    </w:p>
    <w:p w:rsidR="00693AD9" w:rsidRPr="00A66950" w:rsidRDefault="00693AD9"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Pension and Inves</w:t>
      </w:r>
      <w:r w:rsidR="00A66950">
        <w:rPr>
          <w:rFonts w:eastAsia="Times New Roman" w:cs="Times New Roman"/>
          <w:snapToGrid w:val="0"/>
          <w:color w:val="auto"/>
          <w:sz w:val="20"/>
          <w:szCs w:val="20"/>
        </w:rPr>
        <w:t>t</w:t>
      </w:r>
      <w:r w:rsidRPr="00A66950">
        <w:rPr>
          <w:rFonts w:eastAsia="Times New Roman" w:cs="Times New Roman"/>
          <w:snapToGrid w:val="0"/>
          <w:color w:val="auto"/>
          <w:sz w:val="20"/>
          <w:szCs w:val="20"/>
        </w:rPr>
        <w:t>ment Research Consultants</w:t>
      </w:r>
    </w:p>
    <w:p w:rsidR="00693AD9" w:rsidRPr="00A66950" w:rsidRDefault="00693AD9" w:rsidP="001117AE">
      <w:pPr>
        <w:pStyle w:val="ListParagraph"/>
        <w:autoSpaceDE/>
        <w:autoSpaceDN/>
        <w:adjustRightInd/>
        <w:spacing w:after="0"/>
        <w:ind w:left="-74"/>
        <w:rPr>
          <w:rFonts w:eastAsia="Times New Roman" w:cs="Times New Roman"/>
          <w:snapToGrid w:val="0"/>
          <w:color w:val="auto"/>
          <w:sz w:val="20"/>
          <w:szCs w:val="20"/>
        </w:rPr>
      </w:pPr>
    </w:p>
    <w:p w:rsidR="00693AD9" w:rsidRPr="00A66950" w:rsidRDefault="00693AD9" w:rsidP="001117AE">
      <w:pPr>
        <w:pStyle w:val="ListParagraph"/>
        <w:autoSpaceDE/>
        <w:autoSpaceDN/>
        <w:adjustRightInd/>
        <w:spacing w:after="0"/>
        <w:ind w:left="-74"/>
        <w:rPr>
          <w:rFonts w:eastAsia="Times New Roman" w:cs="Times New Roman"/>
          <w:b/>
          <w:snapToGrid w:val="0"/>
          <w:color w:val="auto"/>
        </w:rPr>
      </w:pPr>
      <w:r w:rsidRPr="00A66950">
        <w:rPr>
          <w:rFonts w:eastAsia="Times New Roman" w:cs="Times New Roman"/>
          <w:b/>
          <w:snapToGrid w:val="0"/>
          <w:color w:val="auto"/>
        </w:rPr>
        <w:t>Bankers</w:t>
      </w:r>
    </w:p>
    <w:p w:rsidR="00693AD9" w:rsidRPr="00A66950" w:rsidRDefault="00693AD9"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Natwest</w:t>
      </w:r>
    </w:p>
    <w:p w:rsidR="00693AD9" w:rsidRDefault="00693AD9" w:rsidP="001117AE">
      <w:pPr>
        <w:pStyle w:val="ListParagraph"/>
        <w:autoSpaceDE/>
        <w:autoSpaceDN/>
        <w:adjustRightInd/>
        <w:spacing w:after="0"/>
        <w:ind w:left="-74"/>
        <w:rPr>
          <w:rFonts w:eastAsia="Times New Roman" w:cs="Times New Roman"/>
          <w:snapToGrid w:val="0"/>
          <w:color w:val="auto"/>
          <w:sz w:val="20"/>
          <w:szCs w:val="20"/>
        </w:rPr>
      </w:pPr>
      <w:r w:rsidRPr="00A66950">
        <w:rPr>
          <w:rFonts w:eastAsia="Times New Roman" w:cs="Times New Roman"/>
          <w:snapToGrid w:val="0"/>
          <w:color w:val="auto"/>
          <w:sz w:val="20"/>
          <w:szCs w:val="20"/>
        </w:rPr>
        <w:t>Svenska Handelsbanken</w:t>
      </w:r>
    </w:p>
    <w:p w:rsidR="001A4667" w:rsidRDefault="001A4667" w:rsidP="001117AE">
      <w:pPr>
        <w:pStyle w:val="ListParagraph"/>
        <w:autoSpaceDE/>
        <w:autoSpaceDN/>
        <w:adjustRightInd/>
        <w:spacing w:after="0"/>
        <w:ind w:left="-74"/>
        <w:rPr>
          <w:rFonts w:eastAsia="Times New Roman" w:cs="Times New Roman"/>
          <w:snapToGrid w:val="0"/>
          <w:color w:val="auto"/>
          <w:sz w:val="20"/>
          <w:szCs w:val="20"/>
        </w:rPr>
      </w:pPr>
      <w:bookmarkStart w:id="1" w:name="_GoBack"/>
      <w:bookmarkEnd w:id="1"/>
    </w:p>
    <w:p w:rsidR="00A66950" w:rsidRPr="00A66950" w:rsidRDefault="00A66950" w:rsidP="001117AE">
      <w:pPr>
        <w:pStyle w:val="ListParagraph"/>
        <w:autoSpaceDE/>
        <w:autoSpaceDN/>
        <w:adjustRightInd/>
        <w:spacing w:after="0"/>
        <w:ind w:left="-74"/>
        <w:rPr>
          <w:rFonts w:eastAsia="Times New Roman" w:cs="Times New Roman"/>
          <w:snapToGrid w:val="0"/>
          <w:color w:val="auto"/>
          <w:sz w:val="20"/>
          <w:szCs w:val="20"/>
        </w:rPr>
      </w:pPr>
    </w:p>
    <w:p w:rsidR="00F64BD7" w:rsidRDefault="00F64BD7" w:rsidP="00A66950">
      <w:pPr>
        <w:rPr>
          <w:snapToGrid w:val="0"/>
          <w:sz w:val="20"/>
          <w:szCs w:val="20"/>
        </w:rPr>
        <w:sectPr w:rsidR="00F64BD7" w:rsidSect="00A66950">
          <w:type w:val="continuous"/>
          <w:pgSz w:w="11900" w:h="16840" w:code="9"/>
          <w:pgMar w:top="720" w:right="720" w:bottom="720" w:left="720" w:header="283" w:footer="283" w:gutter="0"/>
          <w:cols w:num="2" w:space="292"/>
          <w:docGrid w:linePitch="326"/>
        </w:sectPr>
      </w:pPr>
    </w:p>
    <w:p w:rsidR="00E62B17" w:rsidRPr="00A66950" w:rsidRDefault="00E62B17" w:rsidP="00A66950">
      <w:pPr>
        <w:autoSpaceDE/>
        <w:autoSpaceDN/>
        <w:adjustRightInd/>
        <w:spacing w:after="0"/>
        <w:rPr>
          <w:rFonts w:eastAsia="Times New Roman" w:cs="Times New Roman"/>
          <w:snapToGrid w:val="0"/>
          <w:color w:val="auto"/>
          <w:sz w:val="20"/>
          <w:szCs w:val="20"/>
        </w:rPr>
      </w:pPr>
    </w:p>
    <w:p w:rsidR="00E62B17" w:rsidRPr="003B73C2" w:rsidRDefault="00E62B17" w:rsidP="00E62B17">
      <w:pPr>
        <w:pStyle w:val="ListParagraph"/>
        <w:autoSpaceDE/>
        <w:autoSpaceDN/>
        <w:adjustRightInd/>
        <w:spacing w:after="0"/>
        <w:ind w:left="-74"/>
        <w:rPr>
          <w:rFonts w:eastAsia="Times New Roman" w:cs="Times New Roman"/>
          <w:b/>
          <w:snapToGrid w:val="0"/>
          <w:color w:val="auto"/>
          <w:sz w:val="32"/>
          <w:szCs w:val="32"/>
        </w:rPr>
      </w:pPr>
      <w:r>
        <w:rPr>
          <w:rFonts w:eastAsia="Times New Roman" w:cs="Times New Roman"/>
          <w:b/>
          <w:snapToGrid w:val="0"/>
          <w:color w:val="auto"/>
          <w:sz w:val="32"/>
          <w:szCs w:val="32"/>
        </w:rPr>
        <w:lastRenderedPageBreak/>
        <w:t>B  Fo</w:t>
      </w:r>
      <w:r w:rsidRPr="003B73C2">
        <w:rPr>
          <w:rFonts w:eastAsia="Times New Roman" w:cs="Times New Roman"/>
          <w:b/>
          <w:snapToGrid w:val="0"/>
          <w:color w:val="auto"/>
          <w:sz w:val="32"/>
          <w:szCs w:val="32"/>
        </w:rPr>
        <w:t>reword by County Councillor Eddie Pope, Chair of the Pension Fund Committee</w:t>
      </w:r>
      <w:r w:rsidR="00407292">
        <w:rPr>
          <w:rFonts w:eastAsia="Times New Roman" w:cs="Times New Roman"/>
          <w:b/>
          <w:snapToGrid w:val="0"/>
          <w:color w:val="auto"/>
          <w:sz w:val="32"/>
          <w:szCs w:val="32"/>
        </w:rPr>
        <w:t xml:space="preserve"> </w:t>
      </w:r>
    </w:p>
    <w:p w:rsidR="00E62B17" w:rsidRDefault="00E62B17" w:rsidP="00E62B17">
      <w:pPr>
        <w:pStyle w:val="ListParagraph"/>
        <w:autoSpaceDE/>
        <w:autoSpaceDN/>
        <w:adjustRightInd/>
        <w:spacing w:after="0"/>
        <w:ind w:left="-74"/>
        <w:jc w:val="left"/>
        <w:rPr>
          <w:rFonts w:cs="Arial"/>
        </w:rPr>
      </w:pPr>
    </w:p>
    <w:p w:rsidR="0001644D" w:rsidRDefault="0001644D" w:rsidP="0001644D">
      <w:pPr>
        <w:pStyle w:val="Body"/>
        <w:jc w:val="both"/>
        <w:rPr>
          <w:rFonts w:ascii="Arial" w:hAnsi="Arial" w:cs="Arial"/>
          <w:sz w:val="24"/>
          <w:szCs w:val="24"/>
        </w:rPr>
      </w:pPr>
      <w:r>
        <w:rPr>
          <w:rFonts w:ascii="Arial" w:hAnsi="Arial" w:cs="Arial"/>
          <w:sz w:val="24"/>
          <w:szCs w:val="24"/>
        </w:rPr>
        <w:t>Welcome to the 2017/18 Annual Report of the Lancashire County Pension Fund</w:t>
      </w:r>
      <w:r w:rsidRPr="005F47F7">
        <w:rPr>
          <w:rFonts w:ascii="Arial" w:hAnsi="Arial" w:cs="Arial"/>
          <w:color w:val="auto"/>
          <w:sz w:val="24"/>
          <w:szCs w:val="24"/>
        </w:rPr>
        <w:t xml:space="preserve">. The year has seen an expansion of scheme members with an increase of 4,765 to a total of 172,074. In particular it is pleasing to see an increase in active Members suggesting that the process of auto-enrollment is having a positive effect. The </w:t>
      </w:r>
      <w:r>
        <w:rPr>
          <w:rFonts w:ascii="Arial" w:hAnsi="Arial" w:cs="Arial"/>
          <w:sz w:val="24"/>
          <w:szCs w:val="24"/>
        </w:rPr>
        <w:t xml:space="preserve">development  of the relationship with Local Pension Partnership (LPP) which provides both investment and administration services, has just completed its second year of operation with continued development of this arrangement, both in terms of LPP operations and managing the relationship between LPP and the Fund being a key area of the work in the year. </w:t>
      </w:r>
    </w:p>
    <w:p w:rsidR="0001644D" w:rsidRDefault="0001644D" w:rsidP="0001644D">
      <w:pPr>
        <w:pStyle w:val="Body"/>
        <w:jc w:val="both"/>
        <w:rPr>
          <w:rFonts w:ascii="Arial" w:hAnsi="Arial" w:cs="Arial"/>
          <w:sz w:val="24"/>
          <w:szCs w:val="24"/>
        </w:rPr>
      </w:pPr>
    </w:p>
    <w:p w:rsidR="0001644D" w:rsidRDefault="0001644D" w:rsidP="0001644D">
      <w:pPr>
        <w:pStyle w:val="Body"/>
        <w:jc w:val="both"/>
        <w:rPr>
          <w:rFonts w:ascii="Arial" w:hAnsi="Arial" w:cs="Arial"/>
          <w:sz w:val="24"/>
          <w:szCs w:val="24"/>
        </w:rPr>
      </w:pPr>
      <w:r>
        <w:rPr>
          <w:rFonts w:ascii="Arial" w:hAnsi="Arial" w:cs="Arial"/>
          <w:sz w:val="24"/>
          <w:szCs w:val="24"/>
        </w:rPr>
        <w:t>The year has been a positive one for the Fund and some of the highlights of the year include:</w:t>
      </w:r>
    </w:p>
    <w:p w:rsidR="0001644D" w:rsidRDefault="0001644D" w:rsidP="0001644D">
      <w:pPr>
        <w:pStyle w:val="Body"/>
        <w:jc w:val="both"/>
        <w:rPr>
          <w:rFonts w:ascii="Arial" w:hAnsi="Arial" w:cs="Arial"/>
          <w:sz w:val="24"/>
          <w:szCs w:val="24"/>
        </w:rPr>
      </w:pPr>
    </w:p>
    <w:p w:rsidR="0001644D" w:rsidRDefault="0001644D" w:rsidP="0001644D">
      <w:pPr>
        <w:pStyle w:val="ListParagraph"/>
        <w:numPr>
          <w:ilvl w:val="0"/>
          <w:numId w:val="56"/>
        </w:numPr>
        <w:ind w:left="709" w:hanging="425"/>
        <w:rPr>
          <w:rFonts w:cs="Arial"/>
        </w:rPr>
      </w:pPr>
      <w:r w:rsidRPr="00B73726">
        <w:rPr>
          <w:rFonts w:cs="Arial"/>
        </w:rPr>
        <w:t xml:space="preserve">Delivering a </w:t>
      </w:r>
      <w:r w:rsidRPr="00CB0516">
        <w:rPr>
          <w:rFonts w:cs="Arial"/>
        </w:rPr>
        <w:t>4.0%</w:t>
      </w:r>
      <w:r w:rsidRPr="00B73726">
        <w:rPr>
          <w:rFonts w:cs="Arial"/>
        </w:rPr>
        <w:t xml:space="preserve"> return on assets which outperformed the Lancashire Benchmark of 3.8% and resulted in the value of the fund, at 31 March 2018, increasing to £7.</w:t>
      </w:r>
      <w:r>
        <w:rPr>
          <w:rFonts w:cs="Arial"/>
        </w:rPr>
        <w:t>5</w:t>
      </w:r>
      <w:r w:rsidRPr="00B73726">
        <w:rPr>
          <w:rFonts w:cs="Arial"/>
        </w:rPr>
        <w:t>bn</w:t>
      </w:r>
      <w:r>
        <w:rPr>
          <w:rFonts w:cs="Arial"/>
        </w:rPr>
        <w:t xml:space="preserve"> with a funding level of 97%.</w:t>
      </w:r>
    </w:p>
    <w:p w:rsidR="0001644D" w:rsidRDefault="0001644D" w:rsidP="0001644D">
      <w:pPr>
        <w:pStyle w:val="Body"/>
        <w:numPr>
          <w:ilvl w:val="0"/>
          <w:numId w:val="32"/>
        </w:numPr>
        <w:jc w:val="both"/>
        <w:rPr>
          <w:rFonts w:ascii="Arial" w:hAnsi="Arial" w:cs="Arial"/>
          <w:sz w:val="24"/>
          <w:szCs w:val="24"/>
        </w:rPr>
      </w:pPr>
      <w:r>
        <w:rPr>
          <w:rFonts w:ascii="Arial" w:hAnsi="Arial" w:cs="Arial"/>
          <w:sz w:val="24"/>
          <w:szCs w:val="24"/>
        </w:rPr>
        <w:t>Continued development of the pooling of investments with the London Pension Fund via the Local Pensions Partnership.</w:t>
      </w:r>
      <w:r w:rsidRPr="00B955C5">
        <w:t xml:space="preserve"> </w:t>
      </w:r>
      <w:r>
        <w:t xml:space="preserve">At </w:t>
      </w:r>
      <w:r w:rsidRPr="00B955C5">
        <w:rPr>
          <w:rFonts w:ascii="Arial" w:hAnsi="Arial" w:cs="Arial"/>
          <w:sz w:val="24"/>
          <w:szCs w:val="24"/>
        </w:rPr>
        <w:t xml:space="preserve">the end of March 2018, </w:t>
      </w:r>
      <w:r>
        <w:rPr>
          <w:rFonts w:ascii="Arial" w:hAnsi="Arial" w:cs="Arial"/>
          <w:sz w:val="24"/>
          <w:szCs w:val="24"/>
        </w:rPr>
        <w:t xml:space="preserve">there are </w:t>
      </w:r>
      <w:r w:rsidRPr="00B955C5">
        <w:rPr>
          <w:rFonts w:ascii="Arial" w:hAnsi="Arial" w:cs="Arial"/>
          <w:sz w:val="24"/>
          <w:szCs w:val="24"/>
        </w:rPr>
        <w:t>5 asset “pools” (vehicles) across public equities, private equity, infrastructure, credit and fixed income</w:t>
      </w:r>
      <w:r>
        <w:rPr>
          <w:rFonts w:ascii="Arial" w:hAnsi="Arial" w:cs="Arial"/>
          <w:sz w:val="24"/>
          <w:szCs w:val="24"/>
        </w:rPr>
        <w:t>; resulting in 90% of the Funds investment assets now being held in pooling vehicles.</w:t>
      </w:r>
    </w:p>
    <w:p w:rsidR="0001644D" w:rsidRDefault="0001644D" w:rsidP="0001644D">
      <w:pPr>
        <w:pStyle w:val="ListParagraph"/>
        <w:rPr>
          <w:rFonts w:cs="Arial"/>
        </w:rPr>
      </w:pPr>
    </w:p>
    <w:p w:rsidR="0001644D" w:rsidRPr="005C7AB7" w:rsidRDefault="0001644D" w:rsidP="0001644D">
      <w:pPr>
        <w:pStyle w:val="Body"/>
        <w:numPr>
          <w:ilvl w:val="0"/>
          <w:numId w:val="56"/>
        </w:numPr>
        <w:ind w:left="709" w:hanging="425"/>
        <w:jc w:val="both"/>
        <w:rPr>
          <w:rFonts w:ascii="Arial" w:hAnsi="Arial" w:cs="Arial"/>
          <w:sz w:val="24"/>
          <w:szCs w:val="24"/>
        </w:rPr>
      </w:pPr>
      <w:r>
        <w:rPr>
          <w:rFonts w:ascii="Arial" w:hAnsi="Arial" w:cs="Arial"/>
          <w:sz w:val="24"/>
          <w:szCs w:val="24"/>
        </w:rPr>
        <w:t xml:space="preserve"> </w:t>
      </w:r>
      <w:r w:rsidRPr="005C7AB7">
        <w:rPr>
          <w:rFonts w:ascii="Arial" w:hAnsi="Arial" w:cs="Arial"/>
          <w:sz w:val="24"/>
          <w:szCs w:val="24"/>
        </w:rPr>
        <w:t xml:space="preserve">Revision of the Strategic Asset Allocations, as recommended by the Investment Panel, </w:t>
      </w:r>
      <w:r w:rsidR="005C7AB7" w:rsidRPr="005C7AB7">
        <w:rPr>
          <w:rFonts w:ascii="Arial" w:hAnsi="Arial" w:cs="Arial"/>
          <w:sz w:val="24"/>
          <w:szCs w:val="24"/>
        </w:rPr>
        <w:t>were 2.5</w:t>
      </w:r>
      <w:r w:rsidRPr="005C7AB7">
        <w:rPr>
          <w:rFonts w:ascii="Arial" w:hAnsi="Arial" w:cs="Arial"/>
          <w:sz w:val="24"/>
          <w:szCs w:val="24"/>
        </w:rPr>
        <w:t>% reduction in Private Equity, 2.5% increase in infrastructure</w:t>
      </w:r>
      <w:r w:rsidR="005C7AB7" w:rsidRPr="005C7AB7">
        <w:rPr>
          <w:rFonts w:ascii="Arial" w:hAnsi="Arial" w:cs="Arial"/>
          <w:sz w:val="24"/>
          <w:szCs w:val="24"/>
        </w:rPr>
        <w:t>, 1</w:t>
      </w:r>
      <w:r w:rsidRPr="005C7AB7">
        <w:rPr>
          <w:rFonts w:ascii="Arial" w:hAnsi="Arial" w:cs="Arial"/>
          <w:sz w:val="24"/>
          <w:szCs w:val="24"/>
        </w:rPr>
        <w:t>% decrease in alternative credit and a 1% increase in cash. Overall, this increases the allocation to income generating assets, providing extra assurance to Members that future pension payments are secure.</w:t>
      </w:r>
    </w:p>
    <w:p w:rsidR="0001644D" w:rsidRDefault="0001644D" w:rsidP="0001644D">
      <w:pPr>
        <w:pStyle w:val="Body"/>
        <w:jc w:val="both"/>
        <w:rPr>
          <w:rFonts w:ascii="Arial" w:hAnsi="Arial" w:cs="Arial"/>
          <w:sz w:val="24"/>
          <w:szCs w:val="24"/>
        </w:rPr>
      </w:pPr>
    </w:p>
    <w:p w:rsidR="0001644D" w:rsidRDefault="0001644D" w:rsidP="0001644D">
      <w:pPr>
        <w:pStyle w:val="Body"/>
        <w:jc w:val="both"/>
        <w:rPr>
          <w:rFonts w:ascii="Arial" w:hAnsi="Arial" w:cs="Arial"/>
          <w:b/>
          <w:sz w:val="24"/>
          <w:szCs w:val="24"/>
        </w:rPr>
      </w:pPr>
    </w:p>
    <w:p w:rsidR="0001644D" w:rsidRPr="00505FE2" w:rsidRDefault="0001644D" w:rsidP="0001644D">
      <w:pPr>
        <w:pStyle w:val="Body"/>
        <w:jc w:val="both"/>
        <w:rPr>
          <w:rFonts w:ascii="Arial" w:hAnsi="Arial" w:cs="Arial"/>
          <w:b/>
          <w:sz w:val="24"/>
          <w:szCs w:val="24"/>
        </w:rPr>
      </w:pPr>
      <w:r w:rsidRPr="00505FE2">
        <w:rPr>
          <w:rFonts w:ascii="Arial" w:hAnsi="Arial" w:cs="Arial"/>
          <w:b/>
          <w:sz w:val="24"/>
          <w:szCs w:val="24"/>
        </w:rPr>
        <w:t>Investment</w:t>
      </w:r>
    </w:p>
    <w:p w:rsidR="0001644D" w:rsidRDefault="0001644D" w:rsidP="0001644D">
      <w:pPr>
        <w:widowControl w:val="0"/>
        <w:spacing w:after="0"/>
        <w:rPr>
          <w:rFonts w:eastAsiaTheme="minorEastAsia" w:cs="Arial"/>
          <w:color w:val="auto"/>
          <w:lang w:val="en" w:eastAsia="en-GB"/>
        </w:rPr>
      </w:pPr>
    </w:p>
    <w:p w:rsidR="0001644D" w:rsidRDefault="0001644D" w:rsidP="0001644D">
      <w:pPr>
        <w:widowControl w:val="0"/>
        <w:spacing w:after="0"/>
        <w:rPr>
          <w:rFonts w:eastAsiaTheme="minorEastAsia" w:cs="Arial"/>
          <w:color w:val="auto"/>
          <w:lang w:val="en" w:eastAsia="en-GB"/>
        </w:rPr>
      </w:pPr>
      <w:r w:rsidRPr="000B10DD">
        <w:rPr>
          <w:rFonts w:eastAsiaTheme="minorEastAsia" w:cs="Arial"/>
          <w:color w:val="auto"/>
          <w:lang w:val="en" w:eastAsia="en-GB"/>
        </w:rPr>
        <w:t>In the year to 31 March 201</w:t>
      </w:r>
      <w:r>
        <w:rPr>
          <w:rFonts w:eastAsiaTheme="minorEastAsia" w:cs="Arial"/>
          <w:color w:val="auto"/>
          <w:lang w:val="en" w:eastAsia="en-GB"/>
        </w:rPr>
        <w:t>8</w:t>
      </w:r>
      <w:r w:rsidRPr="000B10DD">
        <w:rPr>
          <w:rFonts w:eastAsiaTheme="minorEastAsia" w:cs="Arial"/>
          <w:color w:val="auto"/>
          <w:lang w:val="en" w:eastAsia="en-GB"/>
        </w:rPr>
        <w:t xml:space="preserve">, Lancashire's investment performance </w:t>
      </w:r>
      <w:r>
        <w:rPr>
          <w:rFonts w:eastAsiaTheme="minorEastAsia" w:cs="Arial"/>
          <w:color w:val="auto"/>
          <w:lang w:val="en" w:eastAsia="en-GB"/>
        </w:rPr>
        <w:t>was maintained alongside the</w:t>
      </w:r>
      <w:r w:rsidRPr="000B10DD">
        <w:rPr>
          <w:rFonts w:eastAsiaTheme="minorEastAsia" w:cs="Arial"/>
          <w:color w:val="auto"/>
          <w:lang w:val="en" w:eastAsia="en-GB"/>
        </w:rPr>
        <w:t xml:space="preserve"> best of the Local A</w:t>
      </w:r>
      <w:r>
        <w:rPr>
          <w:rFonts w:eastAsiaTheme="minorEastAsia" w:cs="Arial"/>
          <w:color w:val="auto"/>
          <w:lang w:val="en" w:eastAsia="en-GB"/>
        </w:rPr>
        <w:t xml:space="preserve">uthority Pension Schemes. </w:t>
      </w:r>
      <w:r w:rsidRPr="006B26AA">
        <w:rPr>
          <w:rFonts w:eastAsiaTheme="minorEastAsia" w:cs="Arial"/>
          <w:color w:val="FF0000"/>
          <w:lang w:val="en" w:eastAsia="en-GB"/>
        </w:rPr>
        <w:t xml:space="preserve">. </w:t>
      </w:r>
      <w:r w:rsidRPr="000B10DD">
        <w:rPr>
          <w:rFonts w:eastAsiaTheme="minorEastAsia" w:cs="Arial"/>
          <w:color w:val="auto"/>
          <w:lang w:val="en" w:eastAsia="en-GB"/>
        </w:rPr>
        <w:t xml:space="preserve">The value of </w:t>
      </w:r>
      <w:r>
        <w:rPr>
          <w:rFonts w:eastAsiaTheme="minorEastAsia" w:cs="Arial"/>
          <w:color w:val="auto"/>
          <w:lang w:val="en" w:eastAsia="en-GB"/>
        </w:rPr>
        <w:t>the Fund's net</w:t>
      </w:r>
      <w:r w:rsidRPr="000B10DD">
        <w:rPr>
          <w:rFonts w:eastAsiaTheme="minorEastAsia" w:cs="Arial"/>
          <w:color w:val="auto"/>
          <w:lang w:val="en" w:eastAsia="en-GB"/>
        </w:rPr>
        <w:t xml:space="preserve"> assets at 31 March 201</w:t>
      </w:r>
      <w:r>
        <w:rPr>
          <w:rFonts w:eastAsiaTheme="minorEastAsia" w:cs="Arial"/>
          <w:color w:val="auto"/>
          <w:lang w:val="en" w:eastAsia="en-GB"/>
        </w:rPr>
        <w:t>8</w:t>
      </w:r>
      <w:r w:rsidRPr="000B10DD">
        <w:rPr>
          <w:rFonts w:eastAsiaTheme="minorEastAsia" w:cs="Arial"/>
          <w:color w:val="auto"/>
          <w:lang w:val="en" w:eastAsia="en-GB"/>
        </w:rPr>
        <w:t xml:space="preserve"> was £</w:t>
      </w:r>
      <w:r w:rsidRPr="004D17BC">
        <w:rPr>
          <w:rFonts w:eastAsiaTheme="minorEastAsia" w:cs="Arial"/>
          <w:color w:val="auto"/>
          <w:lang w:val="en" w:eastAsia="en-GB"/>
        </w:rPr>
        <w:t>7</w:t>
      </w:r>
      <w:r>
        <w:rPr>
          <w:rFonts w:eastAsiaTheme="minorEastAsia" w:cs="Arial"/>
          <w:color w:val="auto"/>
          <w:lang w:val="en" w:eastAsia="en-GB"/>
        </w:rPr>
        <w:t>,484.2m</w:t>
      </w:r>
      <w:r w:rsidRPr="000B10DD">
        <w:rPr>
          <w:rFonts w:eastAsiaTheme="minorEastAsia" w:cs="Arial"/>
          <w:color w:val="auto"/>
          <w:lang w:val="en" w:eastAsia="en-GB"/>
        </w:rPr>
        <w:t>, up from £</w:t>
      </w:r>
      <w:r>
        <w:rPr>
          <w:rFonts w:eastAsiaTheme="minorEastAsia" w:cs="Arial"/>
          <w:color w:val="auto"/>
          <w:lang w:val="en" w:eastAsia="en-GB"/>
        </w:rPr>
        <w:t>7,209.3m</w:t>
      </w:r>
      <w:r w:rsidRPr="006B26AA">
        <w:rPr>
          <w:rFonts w:eastAsiaTheme="minorEastAsia" w:cs="Arial"/>
          <w:color w:val="auto"/>
          <w:lang w:val="en" w:eastAsia="en-GB"/>
        </w:rPr>
        <w:t xml:space="preserve"> </w:t>
      </w:r>
      <w:r w:rsidRPr="000B10DD">
        <w:rPr>
          <w:rFonts w:eastAsiaTheme="minorEastAsia" w:cs="Arial"/>
          <w:color w:val="auto"/>
          <w:lang w:val="en" w:eastAsia="en-GB"/>
        </w:rPr>
        <w:t xml:space="preserve">at </w:t>
      </w:r>
      <w:r>
        <w:rPr>
          <w:rFonts w:eastAsiaTheme="minorEastAsia" w:cs="Arial"/>
          <w:color w:val="auto"/>
          <w:lang w:val="en" w:eastAsia="en-GB"/>
        </w:rPr>
        <w:t>3</w:t>
      </w:r>
      <w:r w:rsidRPr="000B10DD">
        <w:rPr>
          <w:rFonts w:eastAsiaTheme="minorEastAsia" w:cs="Arial"/>
          <w:color w:val="auto"/>
          <w:lang w:val="en" w:eastAsia="en-GB"/>
        </w:rPr>
        <w:t>1 March 201</w:t>
      </w:r>
      <w:r>
        <w:rPr>
          <w:rFonts w:eastAsiaTheme="minorEastAsia" w:cs="Arial"/>
          <w:color w:val="auto"/>
          <w:lang w:val="en" w:eastAsia="en-GB"/>
        </w:rPr>
        <w:t>7</w:t>
      </w:r>
      <w:r w:rsidRPr="000B10DD">
        <w:rPr>
          <w:rFonts w:eastAsiaTheme="minorEastAsia" w:cs="Arial"/>
          <w:color w:val="auto"/>
          <w:lang w:val="en" w:eastAsia="en-GB"/>
        </w:rPr>
        <w:t>.</w:t>
      </w:r>
    </w:p>
    <w:p w:rsidR="0001644D" w:rsidRDefault="0001644D" w:rsidP="0001644D">
      <w:pPr>
        <w:widowControl w:val="0"/>
        <w:spacing w:after="0"/>
        <w:rPr>
          <w:rFonts w:eastAsiaTheme="minorEastAsia" w:cs="Arial"/>
          <w:color w:val="auto"/>
          <w:lang w:val="en" w:eastAsia="en-GB"/>
        </w:rPr>
      </w:pPr>
    </w:p>
    <w:p w:rsidR="0001644D" w:rsidRDefault="0001644D" w:rsidP="0001644D">
      <w:pPr>
        <w:widowControl w:val="0"/>
        <w:spacing w:after="0"/>
        <w:rPr>
          <w:rFonts w:eastAsiaTheme="minorEastAsia" w:cs="Arial"/>
          <w:color w:val="auto"/>
          <w:lang w:val="en" w:eastAsia="en-GB"/>
        </w:rPr>
      </w:pPr>
      <w:r>
        <w:rPr>
          <w:rFonts w:eastAsiaTheme="minorEastAsia" w:cs="Arial"/>
          <w:color w:val="auto"/>
          <w:lang w:val="en" w:eastAsia="en-GB"/>
        </w:rPr>
        <w:t xml:space="preserve">The Fund along with LPFA, uses LPP I to manage all of its investment assets, creating a larger pool </w:t>
      </w:r>
      <w:r w:rsidRPr="0088148C">
        <w:rPr>
          <w:rFonts w:eastAsiaTheme="minorEastAsia" w:cs="Arial"/>
          <w:color w:val="auto"/>
          <w:lang w:val="en" w:eastAsia="en-GB"/>
        </w:rPr>
        <w:t>(</w:t>
      </w:r>
      <w:r>
        <w:rPr>
          <w:rFonts w:eastAsiaTheme="minorEastAsia" w:cs="Arial"/>
          <w:color w:val="auto"/>
          <w:lang w:val="en" w:eastAsia="en-GB"/>
        </w:rPr>
        <w:t xml:space="preserve">approximately </w:t>
      </w:r>
      <w:r w:rsidRPr="0088148C">
        <w:rPr>
          <w:rFonts w:eastAsiaTheme="minorEastAsia" w:cs="Arial"/>
          <w:color w:val="auto"/>
          <w:lang w:val="en" w:eastAsia="en-GB"/>
        </w:rPr>
        <w:t>£</w:t>
      </w:r>
      <w:r w:rsidRPr="004D17BC">
        <w:rPr>
          <w:rFonts w:eastAsiaTheme="minorEastAsia" w:cs="Arial"/>
          <w:color w:val="auto"/>
          <w:lang w:val="en" w:eastAsia="en-GB"/>
        </w:rPr>
        <w:t>1</w:t>
      </w:r>
      <w:r>
        <w:rPr>
          <w:rFonts w:eastAsiaTheme="minorEastAsia" w:cs="Arial"/>
          <w:color w:val="auto"/>
          <w:lang w:val="en" w:eastAsia="en-GB"/>
        </w:rPr>
        <w:t>4</w:t>
      </w:r>
      <w:r w:rsidRPr="004D17BC">
        <w:rPr>
          <w:rFonts w:eastAsiaTheme="minorEastAsia" w:cs="Arial"/>
          <w:color w:val="auto"/>
          <w:lang w:val="en" w:eastAsia="en-GB"/>
        </w:rPr>
        <w:t> billion</w:t>
      </w:r>
      <w:r w:rsidRPr="0088148C">
        <w:rPr>
          <w:rFonts w:eastAsiaTheme="minorEastAsia" w:cs="Arial"/>
          <w:color w:val="auto"/>
          <w:lang w:val="en" w:eastAsia="en-GB"/>
        </w:rPr>
        <w:t xml:space="preserve"> as at 31 March 201</w:t>
      </w:r>
      <w:r>
        <w:rPr>
          <w:rFonts w:eastAsiaTheme="minorEastAsia" w:cs="Arial"/>
          <w:color w:val="auto"/>
          <w:lang w:val="en" w:eastAsia="en-GB"/>
        </w:rPr>
        <w:t>8</w:t>
      </w:r>
      <w:r w:rsidRPr="0088148C">
        <w:rPr>
          <w:rFonts w:eastAsiaTheme="minorEastAsia" w:cs="Arial"/>
          <w:color w:val="auto"/>
          <w:lang w:val="en" w:eastAsia="en-GB"/>
        </w:rPr>
        <w:t xml:space="preserve">) which </w:t>
      </w:r>
      <w:r>
        <w:rPr>
          <w:rFonts w:eastAsiaTheme="minorEastAsia" w:cs="Arial"/>
          <w:color w:val="auto"/>
          <w:lang w:val="en" w:eastAsia="en-GB"/>
        </w:rPr>
        <w:t xml:space="preserve">is </w:t>
      </w:r>
      <w:r w:rsidRPr="0088148C">
        <w:rPr>
          <w:rFonts w:eastAsiaTheme="minorEastAsia" w:cs="Arial"/>
          <w:color w:val="auto"/>
          <w:lang w:val="en" w:eastAsia="en-GB"/>
        </w:rPr>
        <w:t>jointly invested</w:t>
      </w:r>
      <w:r>
        <w:rPr>
          <w:rFonts w:eastAsiaTheme="minorEastAsia" w:cs="Arial"/>
          <w:color w:val="auto"/>
          <w:lang w:val="en" w:eastAsia="en-GB"/>
        </w:rPr>
        <w:t xml:space="preserve"> to ensure greater reductions in management costs</w:t>
      </w:r>
      <w:r w:rsidRPr="0088148C">
        <w:rPr>
          <w:rFonts w:eastAsiaTheme="minorEastAsia" w:cs="Arial"/>
          <w:color w:val="auto"/>
          <w:lang w:val="en" w:eastAsia="en-GB"/>
        </w:rPr>
        <w:t xml:space="preserve">.  </w:t>
      </w:r>
    </w:p>
    <w:p w:rsidR="0001644D" w:rsidRDefault="0001644D" w:rsidP="0001644D">
      <w:pPr>
        <w:widowControl w:val="0"/>
        <w:spacing w:after="0"/>
        <w:rPr>
          <w:rFonts w:eastAsiaTheme="minorEastAsia" w:cs="Arial"/>
          <w:color w:val="auto"/>
          <w:lang w:val="en" w:eastAsia="en-GB"/>
        </w:rPr>
      </w:pPr>
    </w:p>
    <w:p w:rsidR="0001644D" w:rsidRDefault="0001644D" w:rsidP="0001644D">
      <w:pPr>
        <w:widowControl w:val="0"/>
        <w:spacing w:after="0"/>
        <w:rPr>
          <w:rFonts w:eastAsiaTheme="minorEastAsia" w:cs="Arial"/>
          <w:color w:val="auto"/>
          <w:lang w:val="en" w:eastAsia="en-GB"/>
        </w:rPr>
      </w:pPr>
      <w:r>
        <w:rPr>
          <w:rFonts w:eastAsiaTheme="minorEastAsia" w:cs="Arial"/>
          <w:color w:val="auto"/>
          <w:lang w:val="en" w:eastAsia="en-GB"/>
        </w:rPr>
        <w:t xml:space="preserve">One of the aims of the pooling arrangements is value for money. As part of this LPP reported to Government that the arrangement is on track to make investment cost savings. Other benefits from the pool include the access to investments and portfolio diversification. </w:t>
      </w:r>
    </w:p>
    <w:p w:rsidR="0001644D" w:rsidRDefault="0001644D" w:rsidP="0001644D">
      <w:pPr>
        <w:widowControl w:val="0"/>
        <w:spacing w:after="0"/>
        <w:rPr>
          <w:rFonts w:eastAsiaTheme="minorEastAsia" w:cs="Arial"/>
          <w:color w:val="auto"/>
          <w:lang w:val="en" w:eastAsia="en-GB"/>
        </w:rPr>
      </w:pPr>
    </w:p>
    <w:p w:rsidR="0001644D" w:rsidRPr="000B10DD" w:rsidRDefault="0001644D" w:rsidP="0001644D">
      <w:pPr>
        <w:widowControl w:val="0"/>
        <w:spacing w:after="0"/>
        <w:rPr>
          <w:rFonts w:eastAsiaTheme="minorEastAsia" w:cs="Arial"/>
          <w:color w:val="auto"/>
          <w:lang w:val="en" w:eastAsia="en-GB"/>
        </w:rPr>
      </w:pPr>
      <w:r>
        <w:rPr>
          <w:rFonts w:eastAsiaTheme="minorEastAsia" w:cs="Arial"/>
          <w:color w:val="auto"/>
          <w:lang w:val="en" w:eastAsia="en-GB"/>
        </w:rPr>
        <w:t xml:space="preserve">Further details on investment performance is on page </w:t>
      </w:r>
      <w:r w:rsidR="005C7AB7" w:rsidRPr="00CB0516">
        <w:rPr>
          <w:rFonts w:eastAsiaTheme="minorEastAsia" w:cs="Arial"/>
          <w:color w:val="auto"/>
          <w:lang w:val="en" w:eastAsia="en-GB"/>
        </w:rPr>
        <w:t>1</w:t>
      </w:r>
      <w:r w:rsidR="005C7AB7">
        <w:rPr>
          <w:rFonts w:eastAsiaTheme="minorEastAsia" w:cs="Arial"/>
          <w:color w:val="auto"/>
          <w:lang w:val="en" w:eastAsia="en-GB"/>
        </w:rPr>
        <w:t xml:space="preserve">6 </w:t>
      </w:r>
      <w:r>
        <w:rPr>
          <w:rFonts w:eastAsiaTheme="minorEastAsia" w:cs="Arial"/>
          <w:color w:val="auto"/>
          <w:lang w:val="en" w:eastAsia="en-GB"/>
        </w:rPr>
        <w:t>of this report.</w:t>
      </w:r>
    </w:p>
    <w:p w:rsidR="0001644D" w:rsidRPr="000B10DD" w:rsidRDefault="0001644D" w:rsidP="0001644D">
      <w:pPr>
        <w:widowControl w:val="0"/>
        <w:spacing w:after="0"/>
        <w:rPr>
          <w:rFonts w:eastAsiaTheme="minorEastAsia" w:cs="Arial"/>
          <w:color w:val="auto"/>
          <w:lang w:val="en" w:eastAsia="en-GB"/>
        </w:rPr>
      </w:pPr>
    </w:p>
    <w:p w:rsidR="0001644D" w:rsidRDefault="0001644D" w:rsidP="0001644D">
      <w:pPr>
        <w:pStyle w:val="Body"/>
        <w:rPr>
          <w:rFonts w:ascii="Arial" w:hAnsi="Arial" w:cs="Arial"/>
          <w:color w:val="auto"/>
          <w:sz w:val="24"/>
          <w:szCs w:val="24"/>
        </w:rPr>
      </w:pPr>
      <w:r>
        <w:rPr>
          <w:rFonts w:ascii="Arial" w:hAnsi="Arial" w:cs="Arial"/>
          <w:color w:val="auto"/>
          <w:sz w:val="24"/>
          <w:szCs w:val="24"/>
        </w:rPr>
        <w:t>The</w:t>
      </w:r>
      <w:r w:rsidRPr="00505FE2">
        <w:rPr>
          <w:rFonts w:ascii="Arial" w:hAnsi="Arial" w:cs="Arial"/>
          <w:color w:val="auto"/>
          <w:sz w:val="24"/>
          <w:szCs w:val="24"/>
        </w:rPr>
        <w:t xml:space="preserve"> approach to responsible investment</w:t>
      </w:r>
      <w:r>
        <w:rPr>
          <w:rFonts w:ascii="Arial" w:hAnsi="Arial" w:cs="Arial"/>
          <w:color w:val="auto"/>
          <w:sz w:val="24"/>
          <w:szCs w:val="24"/>
        </w:rPr>
        <w:t xml:space="preserve"> has been an area of focus to be in the year with the committee ensuring the Fund takes responsibility for its own policies in this area via the work of a Responsible Investment Working Group which was formed in June 2017. The remit of the Group was to:</w:t>
      </w:r>
    </w:p>
    <w:p w:rsidR="0001644D" w:rsidRDefault="0001644D" w:rsidP="0001644D">
      <w:pPr>
        <w:pStyle w:val="Body"/>
        <w:rPr>
          <w:rFonts w:ascii="Arial" w:hAnsi="Arial" w:cs="Arial"/>
          <w:color w:val="auto"/>
          <w:sz w:val="24"/>
          <w:szCs w:val="24"/>
        </w:rPr>
      </w:pPr>
    </w:p>
    <w:p w:rsidR="0001644D" w:rsidRPr="0098628A" w:rsidRDefault="0001644D" w:rsidP="005C7AB7">
      <w:pPr>
        <w:pStyle w:val="Body"/>
        <w:ind w:left="851" w:hanging="284"/>
        <w:rPr>
          <w:rFonts w:ascii="Arial" w:hAnsi="Arial" w:cs="Arial"/>
          <w:color w:val="auto"/>
          <w:sz w:val="24"/>
          <w:szCs w:val="24"/>
        </w:rPr>
      </w:pPr>
      <w:r>
        <w:rPr>
          <w:rFonts w:ascii="Arial" w:hAnsi="Arial" w:cs="Arial"/>
          <w:color w:val="auto"/>
          <w:sz w:val="24"/>
          <w:szCs w:val="24"/>
        </w:rPr>
        <w:t>1. R</w:t>
      </w:r>
      <w:r w:rsidRPr="0098628A">
        <w:rPr>
          <w:rFonts w:ascii="Arial" w:hAnsi="Arial" w:cs="Arial"/>
          <w:color w:val="auto"/>
          <w:sz w:val="24"/>
          <w:szCs w:val="24"/>
        </w:rPr>
        <w:t xml:space="preserve">eview whether the current arrangements in relation to Responsible Investment reflect the duties of the Lancashire County Council as an administering authority (the function having been delegated to the </w:t>
      </w:r>
      <w:r w:rsidR="005C7AB7" w:rsidRPr="0098628A">
        <w:rPr>
          <w:rFonts w:ascii="Arial" w:hAnsi="Arial" w:cs="Arial"/>
          <w:color w:val="auto"/>
          <w:sz w:val="24"/>
          <w:szCs w:val="24"/>
        </w:rPr>
        <w:t>Pension Fund</w:t>
      </w:r>
      <w:r w:rsidRPr="0098628A">
        <w:rPr>
          <w:rFonts w:ascii="Arial" w:hAnsi="Arial" w:cs="Arial"/>
          <w:color w:val="auto"/>
          <w:sz w:val="24"/>
          <w:szCs w:val="24"/>
        </w:rPr>
        <w:t xml:space="preserve"> Committee) under the LGPS regulations;</w:t>
      </w:r>
    </w:p>
    <w:p w:rsidR="0001644D" w:rsidRPr="0098628A" w:rsidRDefault="0001644D" w:rsidP="0001644D">
      <w:pPr>
        <w:pStyle w:val="Body"/>
        <w:ind w:left="567"/>
        <w:rPr>
          <w:rFonts w:ascii="Arial" w:hAnsi="Arial" w:cs="Arial"/>
          <w:color w:val="auto"/>
          <w:sz w:val="24"/>
          <w:szCs w:val="24"/>
        </w:rPr>
      </w:pPr>
    </w:p>
    <w:p w:rsidR="0001644D" w:rsidRPr="0098628A" w:rsidRDefault="0001644D" w:rsidP="0001644D">
      <w:pPr>
        <w:pStyle w:val="Body"/>
        <w:ind w:left="851" w:hanging="284"/>
        <w:rPr>
          <w:rFonts w:ascii="Arial" w:hAnsi="Arial" w:cs="Arial"/>
          <w:color w:val="auto"/>
          <w:sz w:val="24"/>
          <w:szCs w:val="24"/>
        </w:rPr>
      </w:pPr>
      <w:r w:rsidRPr="0098628A">
        <w:rPr>
          <w:rFonts w:ascii="Arial" w:hAnsi="Arial" w:cs="Arial"/>
          <w:color w:val="auto"/>
          <w:sz w:val="24"/>
          <w:szCs w:val="24"/>
        </w:rPr>
        <w:lastRenderedPageBreak/>
        <w:t>2.</w:t>
      </w:r>
      <w:r>
        <w:rPr>
          <w:rFonts w:ascii="Arial" w:hAnsi="Arial" w:cs="Arial"/>
          <w:color w:val="auto"/>
          <w:sz w:val="24"/>
          <w:szCs w:val="24"/>
        </w:rPr>
        <w:t xml:space="preserve"> </w:t>
      </w:r>
      <w:r w:rsidRPr="0098628A">
        <w:rPr>
          <w:rFonts w:ascii="Arial" w:hAnsi="Arial" w:cs="Arial"/>
          <w:color w:val="auto"/>
          <w:sz w:val="24"/>
          <w:szCs w:val="24"/>
        </w:rPr>
        <w:t>To identify any gaps in the Lancashire County Pension Fund Responsible</w:t>
      </w:r>
      <w:r>
        <w:rPr>
          <w:rFonts w:ascii="Arial" w:hAnsi="Arial" w:cs="Arial"/>
          <w:color w:val="auto"/>
          <w:sz w:val="24"/>
          <w:szCs w:val="24"/>
        </w:rPr>
        <w:t xml:space="preserve"> </w:t>
      </w:r>
      <w:r w:rsidRPr="0098628A">
        <w:rPr>
          <w:rFonts w:ascii="Arial" w:hAnsi="Arial" w:cs="Arial"/>
          <w:color w:val="auto"/>
          <w:sz w:val="24"/>
          <w:szCs w:val="24"/>
        </w:rPr>
        <w:t>Investment approach relative to the regulations or any permissible powers that the Pension Fund Committee may wish to explore;</w:t>
      </w:r>
    </w:p>
    <w:p w:rsidR="0001644D" w:rsidRPr="0098628A" w:rsidRDefault="0001644D" w:rsidP="0001644D">
      <w:pPr>
        <w:pStyle w:val="Body"/>
        <w:ind w:left="567"/>
        <w:rPr>
          <w:rFonts w:ascii="Arial" w:hAnsi="Arial" w:cs="Arial"/>
          <w:color w:val="auto"/>
          <w:sz w:val="24"/>
          <w:szCs w:val="24"/>
        </w:rPr>
      </w:pPr>
    </w:p>
    <w:p w:rsidR="0001644D" w:rsidRPr="0098628A" w:rsidRDefault="0001644D" w:rsidP="005C7AB7">
      <w:pPr>
        <w:pStyle w:val="Body"/>
        <w:ind w:left="851" w:hanging="425"/>
        <w:rPr>
          <w:rFonts w:ascii="Arial" w:hAnsi="Arial" w:cs="Arial"/>
          <w:color w:val="auto"/>
          <w:sz w:val="24"/>
          <w:szCs w:val="24"/>
        </w:rPr>
      </w:pPr>
      <w:r>
        <w:rPr>
          <w:rFonts w:ascii="Arial" w:hAnsi="Arial" w:cs="Arial"/>
          <w:color w:val="auto"/>
          <w:sz w:val="24"/>
          <w:szCs w:val="24"/>
        </w:rPr>
        <w:t xml:space="preserve">  </w:t>
      </w:r>
      <w:r w:rsidRPr="0098628A">
        <w:rPr>
          <w:rFonts w:ascii="Arial" w:hAnsi="Arial" w:cs="Arial"/>
          <w:color w:val="auto"/>
          <w:sz w:val="24"/>
          <w:szCs w:val="24"/>
        </w:rPr>
        <w:t>3.</w:t>
      </w:r>
      <w:r>
        <w:rPr>
          <w:rFonts w:ascii="Arial" w:hAnsi="Arial" w:cs="Arial"/>
          <w:color w:val="auto"/>
          <w:sz w:val="24"/>
          <w:szCs w:val="24"/>
        </w:rPr>
        <w:t xml:space="preserve"> </w:t>
      </w:r>
      <w:r w:rsidRPr="0098628A">
        <w:rPr>
          <w:rFonts w:ascii="Arial" w:hAnsi="Arial" w:cs="Arial"/>
          <w:color w:val="auto"/>
          <w:sz w:val="24"/>
          <w:szCs w:val="24"/>
        </w:rPr>
        <w:t xml:space="preserve">To review current Responsible Investment Reporting to the Pension Fund </w:t>
      </w:r>
      <w:r>
        <w:rPr>
          <w:rFonts w:ascii="Arial" w:hAnsi="Arial" w:cs="Arial"/>
          <w:color w:val="auto"/>
          <w:sz w:val="24"/>
          <w:szCs w:val="24"/>
        </w:rPr>
        <w:t xml:space="preserve">  </w:t>
      </w:r>
      <w:r w:rsidRPr="0098628A">
        <w:rPr>
          <w:rFonts w:ascii="Arial" w:hAnsi="Arial" w:cs="Arial"/>
          <w:color w:val="auto"/>
          <w:sz w:val="24"/>
          <w:szCs w:val="24"/>
        </w:rPr>
        <w:tab/>
      </w:r>
      <w:r>
        <w:rPr>
          <w:rFonts w:ascii="Arial" w:hAnsi="Arial" w:cs="Arial"/>
          <w:color w:val="auto"/>
          <w:sz w:val="24"/>
          <w:szCs w:val="24"/>
        </w:rPr>
        <w:t xml:space="preserve">  </w:t>
      </w:r>
      <w:r w:rsidRPr="0098628A">
        <w:rPr>
          <w:rFonts w:ascii="Arial" w:hAnsi="Arial" w:cs="Arial"/>
          <w:color w:val="auto"/>
          <w:sz w:val="24"/>
          <w:szCs w:val="24"/>
        </w:rPr>
        <w:t>Committee and make any required recommendations for amendments;</w:t>
      </w:r>
    </w:p>
    <w:p w:rsidR="0001644D" w:rsidRPr="0098628A" w:rsidRDefault="0001644D" w:rsidP="0001644D">
      <w:pPr>
        <w:pStyle w:val="Body"/>
        <w:ind w:left="567"/>
        <w:rPr>
          <w:rFonts w:ascii="Arial" w:hAnsi="Arial" w:cs="Arial"/>
          <w:color w:val="auto"/>
          <w:sz w:val="24"/>
          <w:szCs w:val="24"/>
        </w:rPr>
      </w:pPr>
    </w:p>
    <w:p w:rsidR="0001644D" w:rsidRDefault="0001644D" w:rsidP="005C7AB7">
      <w:pPr>
        <w:pStyle w:val="Body"/>
        <w:ind w:left="851" w:hanging="284"/>
        <w:rPr>
          <w:rFonts w:ascii="Arial" w:hAnsi="Arial" w:cs="Arial"/>
          <w:color w:val="auto"/>
          <w:sz w:val="24"/>
          <w:szCs w:val="24"/>
        </w:rPr>
      </w:pPr>
      <w:r w:rsidRPr="0098628A">
        <w:rPr>
          <w:rFonts w:ascii="Arial" w:hAnsi="Arial" w:cs="Arial"/>
          <w:color w:val="auto"/>
          <w:sz w:val="24"/>
          <w:szCs w:val="24"/>
        </w:rPr>
        <w:t>4.</w:t>
      </w:r>
      <w:r>
        <w:rPr>
          <w:rFonts w:ascii="Arial" w:hAnsi="Arial" w:cs="Arial"/>
          <w:color w:val="auto"/>
          <w:sz w:val="24"/>
          <w:szCs w:val="24"/>
        </w:rPr>
        <w:t xml:space="preserve"> </w:t>
      </w:r>
      <w:r w:rsidRPr="0098628A">
        <w:rPr>
          <w:rFonts w:ascii="Arial" w:hAnsi="Arial" w:cs="Arial"/>
          <w:color w:val="auto"/>
          <w:sz w:val="24"/>
          <w:szCs w:val="24"/>
        </w:rPr>
        <w:t xml:space="preserve">To evaluate the possibility of developing a 'dashboard' style report </w:t>
      </w:r>
      <w:r w:rsidR="005C7AB7">
        <w:rPr>
          <w:rFonts w:ascii="Arial" w:hAnsi="Arial" w:cs="Arial"/>
          <w:color w:val="auto"/>
          <w:sz w:val="24"/>
          <w:szCs w:val="24"/>
        </w:rPr>
        <w:t>w</w:t>
      </w:r>
      <w:r w:rsidR="005C7AB7" w:rsidRPr="0098628A">
        <w:rPr>
          <w:rFonts w:ascii="Arial" w:hAnsi="Arial" w:cs="Arial"/>
          <w:color w:val="auto"/>
          <w:sz w:val="24"/>
          <w:szCs w:val="24"/>
        </w:rPr>
        <w:t>ith possible</w:t>
      </w:r>
      <w:r w:rsidRPr="0098628A">
        <w:rPr>
          <w:rFonts w:ascii="Arial" w:hAnsi="Arial" w:cs="Arial"/>
          <w:color w:val="auto"/>
          <w:sz w:val="24"/>
          <w:szCs w:val="24"/>
        </w:rPr>
        <w:t xml:space="preserve"> targets/outcomes to summarise LPP's activity and performance in relation to Responsible Investment.</w:t>
      </w:r>
      <w:r>
        <w:rPr>
          <w:rFonts w:ascii="Arial" w:hAnsi="Arial" w:cs="Arial"/>
          <w:color w:val="auto"/>
          <w:sz w:val="24"/>
          <w:szCs w:val="24"/>
        </w:rPr>
        <w:t xml:space="preserve"> </w:t>
      </w:r>
    </w:p>
    <w:p w:rsidR="0001644D" w:rsidRDefault="0001644D" w:rsidP="0001644D">
      <w:pPr>
        <w:pStyle w:val="Body"/>
        <w:jc w:val="both"/>
        <w:rPr>
          <w:rFonts w:ascii="Arial" w:hAnsi="Arial" w:cs="Arial"/>
          <w:color w:val="auto"/>
          <w:sz w:val="24"/>
          <w:szCs w:val="24"/>
        </w:rPr>
      </w:pPr>
    </w:p>
    <w:p w:rsidR="0001644D" w:rsidRPr="00505FE2" w:rsidRDefault="0001644D" w:rsidP="0001644D">
      <w:pPr>
        <w:pStyle w:val="Body"/>
        <w:jc w:val="both"/>
        <w:rPr>
          <w:rFonts w:ascii="Arial" w:hAnsi="Arial" w:cs="Arial"/>
          <w:color w:val="auto"/>
          <w:sz w:val="24"/>
          <w:szCs w:val="24"/>
        </w:rPr>
      </w:pPr>
      <w:r>
        <w:rPr>
          <w:rFonts w:ascii="Arial" w:hAnsi="Arial" w:cs="Arial"/>
          <w:color w:val="auto"/>
          <w:sz w:val="24"/>
          <w:szCs w:val="24"/>
        </w:rPr>
        <w:t xml:space="preserve"> This has resulted is a revised Responsible Investment Policy which </w:t>
      </w:r>
      <w:r w:rsidRPr="001D28E2">
        <w:rPr>
          <w:rFonts w:ascii="Arial" w:hAnsi="Arial" w:cs="Arial"/>
          <w:color w:val="auto"/>
          <w:sz w:val="24"/>
          <w:szCs w:val="24"/>
        </w:rPr>
        <w:t xml:space="preserve">reflects the Fund's Investment Strategy Statement and </w:t>
      </w:r>
      <w:r>
        <w:rPr>
          <w:rFonts w:ascii="Arial" w:hAnsi="Arial" w:cs="Arial"/>
          <w:color w:val="auto"/>
          <w:sz w:val="24"/>
          <w:szCs w:val="24"/>
        </w:rPr>
        <w:t>the</w:t>
      </w:r>
      <w:r w:rsidRPr="001D28E2">
        <w:rPr>
          <w:rFonts w:ascii="Arial" w:hAnsi="Arial" w:cs="Arial"/>
          <w:color w:val="auto"/>
          <w:sz w:val="24"/>
          <w:szCs w:val="24"/>
        </w:rPr>
        <w:t xml:space="preserve"> approach to complying with the UK Stewardship Code</w:t>
      </w:r>
      <w:r w:rsidRPr="00294319">
        <w:rPr>
          <w:rFonts w:ascii="Arial" w:hAnsi="Arial" w:cs="Arial"/>
          <w:color w:val="auto"/>
          <w:sz w:val="24"/>
          <w:szCs w:val="24"/>
        </w:rPr>
        <w:t xml:space="preserve">. </w:t>
      </w:r>
      <w:r w:rsidRPr="006C7F6C">
        <w:rPr>
          <w:rFonts w:ascii="Arial" w:hAnsi="Arial" w:cs="Arial"/>
          <w:color w:val="auto"/>
          <w:sz w:val="24"/>
          <w:szCs w:val="24"/>
        </w:rPr>
        <w:t>R</w:t>
      </w:r>
      <w:r w:rsidRPr="00157823">
        <w:rPr>
          <w:rFonts w:ascii="Arial" w:hAnsi="Arial" w:cs="Arial"/>
          <w:color w:val="auto"/>
          <w:sz w:val="24"/>
          <w:szCs w:val="24"/>
        </w:rPr>
        <w:t>esponsible investment is an on-going issue and</w:t>
      </w:r>
      <w:r w:rsidRPr="00294319">
        <w:rPr>
          <w:rFonts w:cs="Arial"/>
          <w:color w:val="auto"/>
        </w:rPr>
        <w:t xml:space="preserve"> </w:t>
      </w:r>
      <w:r>
        <w:rPr>
          <w:rFonts w:ascii="Arial" w:hAnsi="Arial" w:cs="Arial"/>
          <w:color w:val="auto"/>
          <w:sz w:val="24"/>
          <w:szCs w:val="24"/>
        </w:rPr>
        <w:t>the working group is continuing to undertake work on specific areas such as climate change, whilst ensuring its fiduciary duty remains paramount.</w:t>
      </w:r>
    </w:p>
    <w:p w:rsidR="0001644D" w:rsidRDefault="0001644D" w:rsidP="0001644D">
      <w:pPr>
        <w:pStyle w:val="Body"/>
        <w:jc w:val="both"/>
        <w:rPr>
          <w:rFonts w:ascii="Arial" w:hAnsi="Arial" w:cs="Arial"/>
          <w:sz w:val="24"/>
          <w:szCs w:val="24"/>
        </w:rPr>
      </w:pPr>
    </w:p>
    <w:p w:rsidR="0001644D" w:rsidRPr="00505FE2" w:rsidRDefault="0001644D" w:rsidP="0001644D">
      <w:pPr>
        <w:pStyle w:val="Body"/>
        <w:jc w:val="both"/>
        <w:rPr>
          <w:rFonts w:ascii="Arial" w:eastAsiaTheme="minorHAnsi" w:hAnsi="Arial" w:cs="Arial"/>
          <w:color w:val="auto"/>
          <w:sz w:val="24"/>
          <w:szCs w:val="24"/>
        </w:rPr>
      </w:pPr>
      <w:r w:rsidRPr="00505FE2">
        <w:rPr>
          <w:rFonts w:ascii="Arial" w:hAnsi="Arial" w:cs="Arial"/>
          <w:b/>
          <w:sz w:val="24"/>
          <w:szCs w:val="24"/>
        </w:rPr>
        <w:t>Administration</w:t>
      </w:r>
    </w:p>
    <w:p w:rsidR="0001644D" w:rsidRPr="00505FE2" w:rsidRDefault="0001644D" w:rsidP="0001644D">
      <w:pPr>
        <w:pStyle w:val="Body"/>
        <w:jc w:val="both"/>
        <w:rPr>
          <w:rFonts w:ascii="Arial" w:hAnsi="Arial" w:cs="Arial"/>
          <w:b/>
          <w:sz w:val="24"/>
          <w:szCs w:val="24"/>
        </w:rPr>
      </w:pPr>
    </w:p>
    <w:p w:rsidR="0001644D" w:rsidRDefault="0001644D" w:rsidP="0001644D">
      <w:pPr>
        <w:autoSpaceDE/>
        <w:autoSpaceDN/>
        <w:adjustRightInd/>
        <w:spacing w:after="0"/>
        <w:rPr>
          <w:rFonts w:eastAsia="Times New Roman" w:cs="Times New Roman"/>
          <w:color w:val="auto"/>
          <w:szCs w:val="20"/>
          <w:lang w:eastAsia="en-GB"/>
        </w:rPr>
      </w:pPr>
      <w:r w:rsidRPr="00505FE2">
        <w:rPr>
          <w:color w:val="auto"/>
        </w:rPr>
        <w:t>During the year the Fund's administration service</w:t>
      </w:r>
      <w:r>
        <w:rPr>
          <w:color w:val="auto"/>
        </w:rPr>
        <w:t>,</w:t>
      </w:r>
      <w:r w:rsidRPr="00505FE2">
        <w:rPr>
          <w:color w:val="auto"/>
        </w:rPr>
        <w:t xml:space="preserve"> provided by LPP</w:t>
      </w:r>
      <w:r>
        <w:rPr>
          <w:color w:val="auto"/>
        </w:rPr>
        <w:t>, continued to maintain a high standard of service. It</w:t>
      </w:r>
      <w:r w:rsidRPr="00505FE2">
        <w:rPr>
          <w:color w:val="auto"/>
        </w:rPr>
        <w:t xml:space="preserve"> processed around </w:t>
      </w:r>
      <w:r w:rsidRPr="00AB0555">
        <w:rPr>
          <w:color w:val="auto"/>
        </w:rPr>
        <w:t>27,000</w:t>
      </w:r>
      <w:r w:rsidRPr="00505FE2">
        <w:rPr>
          <w:color w:val="auto"/>
        </w:rPr>
        <w:t xml:space="preserve"> items of work (ranging from changes of address to the calculation of pension benefits)</w:t>
      </w:r>
      <w:r>
        <w:rPr>
          <w:color w:val="auto"/>
        </w:rPr>
        <w:t xml:space="preserve"> all of which were within statutory requirements and 96% were within the tighter internal standards. </w:t>
      </w:r>
    </w:p>
    <w:p w:rsidR="00E62B17" w:rsidRPr="00662378" w:rsidRDefault="00E62B17" w:rsidP="00E62B17">
      <w:pPr>
        <w:autoSpaceDE/>
        <w:autoSpaceDN/>
        <w:adjustRightInd/>
        <w:spacing w:after="0"/>
        <w:rPr>
          <w:rFonts w:eastAsia="Times New Roman" w:cs="Times New Roman"/>
          <w:color w:val="auto"/>
          <w:szCs w:val="20"/>
          <w:lang w:eastAsia="en-GB"/>
        </w:rPr>
      </w:pPr>
    </w:p>
    <w:p w:rsidR="00E62B17" w:rsidRPr="00662378" w:rsidRDefault="00E62B17" w:rsidP="00E62B17">
      <w:pPr>
        <w:autoSpaceDE/>
        <w:autoSpaceDN/>
        <w:adjustRightInd/>
        <w:spacing w:after="0"/>
        <w:rPr>
          <w:rFonts w:eastAsia="Times New Roman" w:cs="Times New Roman"/>
          <w:color w:val="auto"/>
          <w:szCs w:val="20"/>
          <w:lang w:eastAsia="en-GB"/>
        </w:rPr>
      </w:pPr>
    </w:p>
    <w:p w:rsidR="00E62B17" w:rsidRPr="00662378" w:rsidRDefault="00E62B17" w:rsidP="00E62B17">
      <w:pPr>
        <w:autoSpaceDE/>
        <w:autoSpaceDN/>
        <w:adjustRightInd/>
        <w:spacing w:after="0"/>
        <w:rPr>
          <w:rFonts w:eastAsia="Times New Roman" w:cs="Times New Roman"/>
          <w:b/>
          <w:color w:val="auto"/>
          <w:szCs w:val="20"/>
          <w:lang w:eastAsia="en-GB"/>
        </w:rPr>
      </w:pPr>
      <w:r w:rsidRPr="00662378">
        <w:rPr>
          <w:rFonts w:eastAsia="Times New Roman" w:cs="Times New Roman"/>
          <w:b/>
          <w:color w:val="auto"/>
          <w:szCs w:val="20"/>
          <w:lang w:eastAsia="en-GB"/>
        </w:rPr>
        <w:t xml:space="preserve">County Councillor </w:t>
      </w:r>
      <w:r>
        <w:rPr>
          <w:rFonts w:eastAsia="Times New Roman" w:cs="Times New Roman"/>
          <w:b/>
          <w:color w:val="auto"/>
          <w:szCs w:val="20"/>
          <w:lang w:eastAsia="en-GB"/>
        </w:rPr>
        <w:t>Eddie Pope</w:t>
      </w:r>
    </w:p>
    <w:p w:rsidR="00E62B17" w:rsidRPr="00662378" w:rsidRDefault="00E62B17" w:rsidP="00E62B17">
      <w:pPr>
        <w:autoSpaceDE/>
        <w:autoSpaceDN/>
        <w:adjustRightInd/>
        <w:spacing w:after="0"/>
        <w:rPr>
          <w:rFonts w:eastAsia="Times New Roman" w:cs="Times New Roman"/>
          <w:b/>
          <w:color w:val="auto"/>
          <w:szCs w:val="20"/>
          <w:lang w:eastAsia="en-GB"/>
        </w:rPr>
      </w:pPr>
      <w:r w:rsidRPr="00662378">
        <w:rPr>
          <w:rFonts w:eastAsia="Times New Roman" w:cs="Times New Roman"/>
          <w:b/>
          <w:color w:val="auto"/>
          <w:szCs w:val="20"/>
          <w:lang w:eastAsia="en-GB"/>
        </w:rPr>
        <w:t>Chair of the Pension Fund Committee</w:t>
      </w:r>
    </w:p>
    <w:p w:rsidR="00E62B17" w:rsidRDefault="00E62B17" w:rsidP="00E62B17"/>
    <w:p w:rsidR="00FF6F6A" w:rsidRDefault="00FF6F6A" w:rsidP="00FF6F6A">
      <w:pPr>
        <w:autoSpaceDE/>
        <w:autoSpaceDN/>
        <w:adjustRightInd/>
        <w:spacing w:after="0"/>
        <w:jc w:val="left"/>
      </w:pPr>
    </w:p>
    <w:p w:rsidR="00407292" w:rsidRDefault="00407292" w:rsidP="00FF6F6A">
      <w:pPr>
        <w:autoSpaceDE/>
        <w:autoSpaceDN/>
        <w:adjustRightInd/>
        <w:spacing w:after="0"/>
        <w:jc w:val="left"/>
      </w:pPr>
    </w:p>
    <w:p w:rsidR="00407292" w:rsidRDefault="00407292" w:rsidP="00FF6F6A">
      <w:pPr>
        <w:autoSpaceDE/>
        <w:autoSpaceDN/>
        <w:adjustRightInd/>
        <w:spacing w:after="0"/>
        <w:jc w:val="left"/>
        <w:sectPr w:rsidR="00407292" w:rsidSect="00FF6F6A">
          <w:type w:val="continuous"/>
          <w:pgSz w:w="11900" w:h="16840" w:code="9"/>
          <w:pgMar w:top="720" w:right="720" w:bottom="720" w:left="720" w:header="283" w:footer="283" w:gutter="0"/>
          <w:cols w:space="292"/>
          <w:docGrid w:linePitch="326"/>
        </w:sectPr>
      </w:pPr>
    </w:p>
    <w:p w:rsidR="00FF6F6A" w:rsidRDefault="00FF6F6A" w:rsidP="00FF6F6A">
      <w:pPr>
        <w:autoSpaceDE/>
        <w:autoSpaceDN/>
        <w:adjustRightInd/>
        <w:spacing w:after="0"/>
        <w:jc w:val="left"/>
      </w:pPr>
    </w:p>
    <w:p w:rsidR="00FF6F6A" w:rsidRPr="00C473DA" w:rsidRDefault="0023599A" w:rsidP="00FF6F6A">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t xml:space="preserve">C  </w:t>
      </w:r>
      <w:r w:rsidRPr="00C473DA">
        <w:rPr>
          <w:rFonts w:eastAsia="Times New Roman" w:cs="Times New Roman"/>
          <w:b/>
          <w:snapToGrid w:val="0"/>
          <w:sz w:val="32"/>
          <w:szCs w:val="32"/>
        </w:rPr>
        <w:t>Governance of the Fund</w:t>
      </w:r>
    </w:p>
    <w:p w:rsidR="00FF6F6A" w:rsidRPr="00C473DA" w:rsidRDefault="00FF6F6A" w:rsidP="00FF6F6A">
      <w:pPr>
        <w:keepNext/>
        <w:autoSpaceDE/>
        <w:autoSpaceDN/>
        <w:adjustRightInd/>
        <w:spacing w:after="0"/>
        <w:ind w:left="360"/>
        <w:jc w:val="left"/>
        <w:outlineLvl w:val="0"/>
        <w:rPr>
          <w:rFonts w:eastAsia="Times New Roman" w:cs="Times New Roman"/>
          <w:b/>
          <w:snapToGrid w:val="0"/>
          <w:sz w:val="32"/>
          <w:szCs w:val="32"/>
        </w:rPr>
      </w:pPr>
    </w:p>
    <w:p w:rsidR="00FF6F6A" w:rsidRPr="00C473DA" w:rsidRDefault="00FF6F6A" w:rsidP="00FF6F6A">
      <w:pPr>
        <w:keepNext/>
        <w:autoSpaceDE/>
        <w:autoSpaceDN/>
        <w:adjustRightInd/>
        <w:spacing w:after="0"/>
        <w:jc w:val="left"/>
        <w:outlineLvl w:val="0"/>
        <w:rPr>
          <w:rFonts w:eastAsia="Times New Roman" w:cs="Times New Roman"/>
          <w:b/>
          <w:snapToGrid w:val="0"/>
          <w:sz w:val="28"/>
          <w:szCs w:val="28"/>
        </w:rPr>
      </w:pPr>
    </w:p>
    <w:p w:rsidR="00FF6F6A" w:rsidRPr="00C473DA" w:rsidRDefault="0023599A" w:rsidP="00FF6F6A">
      <w:pPr>
        <w:keepNext/>
        <w:autoSpaceDE/>
        <w:autoSpaceDN/>
        <w:adjustRightInd/>
        <w:spacing w:after="0"/>
        <w:jc w:val="left"/>
        <w:outlineLvl w:val="0"/>
        <w:rPr>
          <w:rFonts w:eastAsia="Times New Roman" w:cs="Times New Roman"/>
          <w:b/>
          <w:snapToGrid w:val="0"/>
          <w:sz w:val="28"/>
          <w:szCs w:val="28"/>
        </w:rPr>
      </w:pPr>
      <w:r w:rsidRPr="00C473DA">
        <w:rPr>
          <w:rFonts w:eastAsia="Times New Roman" w:cs="Times New Roman"/>
          <w:b/>
          <w:snapToGrid w:val="0"/>
          <w:sz w:val="28"/>
          <w:szCs w:val="28"/>
        </w:rPr>
        <w:t>Lancashire County Pension Fund Governance Policy Statement</w:t>
      </w:r>
    </w:p>
    <w:p w:rsidR="00FF6F6A" w:rsidRPr="00C473DA" w:rsidRDefault="00FF6F6A" w:rsidP="00FF6F6A">
      <w:pPr>
        <w:keepNext/>
        <w:autoSpaceDE/>
        <w:autoSpaceDN/>
        <w:adjustRightInd/>
        <w:spacing w:after="0"/>
        <w:jc w:val="left"/>
        <w:outlineLvl w:val="0"/>
        <w:rPr>
          <w:rFonts w:eastAsia="Times New Roman" w:cs="Times New Roman"/>
          <w:b/>
          <w:snapToGrid w:val="0"/>
          <w:sz w:val="28"/>
          <w:szCs w:val="28"/>
        </w:rPr>
      </w:pPr>
    </w:p>
    <w:p w:rsidR="00FF6F6A" w:rsidRPr="00C473DA" w:rsidRDefault="00FF6F6A" w:rsidP="00FF6F6A">
      <w:pPr>
        <w:keepNext/>
        <w:autoSpaceDE/>
        <w:autoSpaceDN/>
        <w:adjustRightInd/>
        <w:spacing w:after="0"/>
        <w:ind w:left="360"/>
        <w:outlineLvl w:val="0"/>
        <w:rPr>
          <w:rFonts w:eastAsia="Times New Roman" w:cs="Times New Roman"/>
          <w:color w:val="auto"/>
          <w:szCs w:val="20"/>
          <w:lang w:eastAsia="en-GB"/>
        </w:rPr>
      </w:pPr>
    </w:p>
    <w:p w:rsidR="00FF6F6A" w:rsidRPr="00C473DA" w:rsidRDefault="0023599A" w:rsidP="00FF6F6A">
      <w:pPr>
        <w:spacing w:after="0"/>
        <w:jc w:val="left"/>
        <w:rPr>
          <w:rFonts w:eastAsia="Times New Roman" w:cs="Arial"/>
          <w:color w:val="auto"/>
          <w:lang w:eastAsia="en-GB"/>
        </w:rPr>
      </w:pPr>
      <w:r w:rsidRPr="00C473DA">
        <w:rPr>
          <w:rFonts w:eastAsia="Times New Roman" w:cs="Arial"/>
          <w:color w:val="auto"/>
          <w:lang w:eastAsia="en-GB"/>
        </w:rPr>
        <w:t xml:space="preserve">While the Pension Fund is not technically a separate legal entity, it does have its own specific governance arrangements and controls which sit within Lancashire County Council's overall governance framework.  </w:t>
      </w:r>
    </w:p>
    <w:p w:rsidR="00FF6F6A" w:rsidRPr="00C473DA" w:rsidRDefault="00FF6F6A" w:rsidP="00FF6F6A">
      <w:pPr>
        <w:spacing w:after="0"/>
        <w:jc w:val="left"/>
        <w:rPr>
          <w:rFonts w:eastAsia="Times New Roman" w:cs="Arial"/>
          <w:color w:val="auto"/>
          <w:lang w:eastAsia="en-GB"/>
        </w:rPr>
      </w:pPr>
    </w:p>
    <w:p w:rsidR="00FF6F6A" w:rsidRPr="00C473DA" w:rsidRDefault="0023599A" w:rsidP="00FF6F6A">
      <w:pPr>
        <w:spacing w:after="0"/>
        <w:jc w:val="left"/>
        <w:rPr>
          <w:rFonts w:eastAsia="Times New Roman" w:cs="Arial"/>
          <w:color w:val="auto"/>
          <w:lang w:eastAsia="en-GB"/>
        </w:rPr>
      </w:pPr>
      <w:r w:rsidRPr="00C473DA">
        <w:rPr>
          <w:rFonts w:eastAsiaTheme="minorHAnsi" w:cs="Arial"/>
          <w:color w:val="auto"/>
        </w:rPr>
        <w:t xml:space="preserve">Under regulation 55 of the LGPS Regulations 2013, all Local Government Pension Scheme (LGPS) Funds in England and Wales are required to publish a </w:t>
      </w:r>
      <w:hyperlink r:id="rId11" w:history="1">
        <w:r w:rsidRPr="00C473DA">
          <w:rPr>
            <w:rStyle w:val="Hyperlink"/>
            <w:rFonts w:eastAsiaTheme="minorHAnsi"/>
          </w:rPr>
          <w:t>Governance Policy Statement</w:t>
        </w:r>
      </w:hyperlink>
      <w:r w:rsidRPr="00C473DA">
        <w:rPr>
          <w:rFonts w:eastAsiaTheme="minorHAnsi" w:cs="Arial"/>
          <w:color w:val="auto"/>
        </w:rPr>
        <w:t xml:space="preserve"> setting out whether the authority delegates its functions, or part of its functions to a committee, a sub-committee or an officer of the authority</w:t>
      </w:r>
      <w:r w:rsidRPr="00C473DA">
        <w:rPr>
          <w:rFonts w:eastAsia="Times New Roman" w:cs="Arial"/>
          <w:color w:val="auto"/>
          <w:lang w:eastAsia="en-GB"/>
        </w:rPr>
        <w:t xml:space="preserve">. </w:t>
      </w:r>
    </w:p>
    <w:p w:rsidR="00FF6F6A" w:rsidRPr="00C473DA" w:rsidRDefault="00FF6F6A" w:rsidP="00FF6F6A">
      <w:pPr>
        <w:autoSpaceDE/>
        <w:autoSpaceDN/>
        <w:adjustRightInd/>
        <w:spacing w:after="0"/>
        <w:jc w:val="left"/>
        <w:rPr>
          <w:rFonts w:eastAsia="Times New Roman" w:cs="Arial"/>
          <w:color w:val="auto"/>
        </w:rPr>
      </w:pPr>
    </w:p>
    <w:p w:rsidR="00FF6F6A" w:rsidRPr="00C473DA" w:rsidRDefault="0023599A" w:rsidP="00FF6F6A">
      <w:pPr>
        <w:autoSpaceDE/>
        <w:autoSpaceDN/>
        <w:adjustRightInd/>
        <w:spacing w:after="0"/>
        <w:jc w:val="left"/>
        <w:rPr>
          <w:rFonts w:eastAsia="Times New Roman" w:cs="Arial"/>
          <w:color w:val="auto"/>
        </w:rPr>
      </w:pPr>
      <w:r w:rsidRPr="00C473DA">
        <w:rPr>
          <w:rFonts w:eastAsia="Times New Roman" w:cs="Arial"/>
          <w:color w:val="auto"/>
        </w:rPr>
        <w:t>Comprehensive terms of reference have been established for all areas of governance of pension fund activities including the Pension Fund Committee, the Investment Panel, the Lancashire Local Pension Board and issues delegated to the Head of the Lancashire County Pension Fund.</w:t>
      </w:r>
    </w:p>
    <w:p w:rsidR="00FF6F6A" w:rsidRPr="00C473DA" w:rsidRDefault="00FF6F6A" w:rsidP="00FF6F6A">
      <w:pPr>
        <w:autoSpaceDE/>
        <w:autoSpaceDN/>
        <w:adjustRightInd/>
        <w:spacing w:after="0"/>
        <w:jc w:val="left"/>
        <w:rPr>
          <w:rFonts w:eastAsia="Times New Roman" w:cs="Arial"/>
          <w:color w:val="auto"/>
          <w:lang w:eastAsia="en-GB"/>
        </w:rPr>
      </w:pPr>
    </w:p>
    <w:p w:rsidR="00FF6F6A" w:rsidRPr="00C473DA" w:rsidRDefault="0023599A" w:rsidP="00FF6F6A">
      <w:pPr>
        <w:spacing w:after="0"/>
        <w:jc w:val="left"/>
        <w:rPr>
          <w:rFonts w:eastAsiaTheme="minorHAnsi" w:cs="Arial"/>
          <w:color w:val="auto"/>
        </w:rPr>
      </w:pPr>
      <w:r w:rsidRPr="00C473DA">
        <w:rPr>
          <w:rFonts w:eastAsia="Times New Roman" w:cs="Arial"/>
          <w:color w:val="auto"/>
        </w:rPr>
        <w:t xml:space="preserve">The Pension Fund Committee has considered the governance arrangements relating to the administration and strategic management of Fund assets and liabilities in the light of guidance issued by the </w:t>
      </w:r>
      <w:r w:rsidR="002A66AE">
        <w:rPr>
          <w:rFonts w:eastAsia="Times New Roman" w:cs="Arial"/>
          <w:color w:val="auto"/>
        </w:rPr>
        <w:t>Ministry of Housing, Communities and Local Government (formerly the Department for Communities and Local Government, DCLG)</w:t>
      </w:r>
      <w:r w:rsidRPr="00C473DA">
        <w:rPr>
          <w:rFonts w:eastAsia="Times New Roman" w:cs="Arial"/>
          <w:color w:val="auto"/>
        </w:rPr>
        <w:t xml:space="preserve"> and the requirement to complete a Governance Compliance Statement for all areas of governance of pension fund activities.</w:t>
      </w:r>
      <w:r w:rsidRPr="00C473DA">
        <w:rPr>
          <w:rFonts w:eastAsiaTheme="minorHAnsi" w:cs="Arial"/>
          <w:color w:val="auto"/>
        </w:rPr>
        <w:t xml:space="preserve"> </w:t>
      </w:r>
    </w:p>
    <w:p w:rsidR="00FF6F6A" w:rsidRPr="00C473DA" w:rsidRDefault="00FF6F6A" w:rsidP="00FF6F6A">
      <w:pPr>
        <w:autoSpaceDE/>
        <w:autoSpaceDN/>
        <w:adjustRightInd/>
        <w:spacing w:after="0"/>
        <w:jc w:val="left"/>
        <w:rPr>
          <w:rFonts w:eastAsia="Times New Roman" w:cs="Arial"/>
          <w:color w:val="auto"/>
        </w:rPr>
      </w:pPr>
    </w:p>
    <w:p w:rsidR="00FF6F6A" w:rsidRPr="00C473DA" w:rsidRDefault="0023599A" w:rsidP="00FF6F6A">
      <w:pPr>
        <w:autoSpaceDE/>
        <w:autoSpaceDN/>
        <w:adjustRightInd/>
        <w:spacing w:after="0"/>
        <w:jc w:val="left"/>
        <w:rPr>
          <w:rFonts w:eastAsia="Times New Roman" w:cs="Arial"/>
          <w:color w:val="auto"/>
        </w:rPr>
      </w:pPr>
      <w:r w:rsidRPr="00C473DA">
        <w:rPr>
          <w:rFonts w:eastAsia="Times New Roman" w:cs="Arial"/>
          <w:color w:val="auto"/>
        </w:rPr>
        <w:t>The Fund’s Governance Compliance Statement is shown on the following page, and the Governance Policy Statement is included as Appendix 1 to this report.</w:t>
      </w: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autoSpaceDE/>
        <w:autoSpaceDN/>
        <w:adjustRightInd/>
        <w:spacing w:after="0"/>
        <w:jc w:val="left"/>
        <w:rPr>
          <w:rFonts w:eastAsia="Times New Roman" w:cs="Arial"/>
          <w:color w:val="auto"/>
          <w:highlight w:val="yellow"/>
        </w:rPr>
      </w:pPr>
    </w:p>
    <w:p w:rsidR="00FF6F6A" w:rsidRPr="005A3E2A" w:rsidRDefault="00FF6F6A" w:rsidP="00FF6F6A">
      <w:pPr>
        <w:rPr>
          <w:highlight w:val="yellow"/>
        </w:rPr>
      </w:pPr>
    </w:p>
    <w:p w:rsidR="00FF6F6A" w:rsidRPr="005A3E2A" w:rsidRDefault="00FF6F6A" w:rsidP="00FF6F6A">
      <w:pPr>
        <w:autoSpaceDE/>
        <w:autoSpaceDN/>
        <w:adjustRightInd/>
        <w:spacing w:after="0"/>
        <w:jc w:val="left"/>
        <w:rPr>
          <w:b/>
          <w:highlight w:val="yellow"/>
        </w:rPr>
      </w:pPr>
    </w:p>
    <w:p w:rsidR="00FF6F6A" w:rsidRPr="005A3E2A" w:rsidRDefault="00FF6F6A" w:rsidP="00FF6F6A">
      <w:pPr>
        <w:autoSpaceDE/>
        <w:autoSpaceDN/>
        <w:adjustRightInd/>
        <w:spacing w:after="0"/>
        <w:jc w:val="left"/>
        <w:rPr>
          <w:b/>
          <w:highlight w:val="yellow"/>
        </w:rPr>
      </w:pPr>
    </w:p>
    <w:p w:rsidR="00FF6F6A" w:rsidRPr="00990A11" w:rsidRDefault="0023599A" w:rsidP="00FF6F6A">
      <w:pPr>
        <w:autoSpaceDE/>
        <w:autoSpaceDN/>
        <w:adjustRightInd/>
        <w:spacing w:after="0"/>
        <w:jc w:val="left"/>
        <w:rPr>
          <w:rFonts w:eastAsiaTheme="minorHAnsi" w:cs="Arial"/>
          <w:b/>
          <w:sz w:val="28"/>
          <w:szCs w:val="28"/>
        </w:rPr>
      </w:pPr>
      <w:r w:rsidRPr="00990A11">
        <w:rPr>
          <w:b/>
          <w:sz w:val="28"/>
          <w:szCs w:val="28"/>
        </w:rPr>
        <w:t xml:space="preserve">LANCASHIRE COUNTY PENSION FUND GOVERNANCE COMPLIANCE STATEMENT - </w:t>
      </w:r>
      <w:r w:rsidR="00990A11" w:rsidRPr="00990A11">
        <w:rPr>
          <w:b/>
          <w:sz w:val="28"/>
          <w:szCs w:val="28"/>
        </w:rPr>
        <w:t>JANUARY 2018</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369"/>
        <w:gridCol w:w="1714"/>
        <w:gridCol w:w="1693"/>
        <w:gridCol w:w="3397"/>
      </w:tblGrid>
      <w:tr w:rsidR="00D41D59" w:rsidRPr="005A3E2A" w:rsidTr="00FF6F6A">
        <w:trPr>
          <w:trHeight w:val="112"/>
        </w:trPr>
        <w:tc>
          <w:tcPr>
            <w:tcW w:w="5083" w:type="dxa"/>
            <w:gridSpan w:val="2"/>
            <w:tcBorders>
              <w:bottom w:val="single" w:sz="4" w:space="0" w:color="auto"/>
            </w:tcBorders>
          </w:tcPr>
          <w:p w:rsidR="00FF6F6A" w:rsidRPr="005A3E2A" w:rsidRDefault="00FF6F6A" w:rsidP="00FF6F6A">
            <w:pPr>
              <w:spacing w:after="0"/>
              <w:jc w:val="left"/>
              <w:rPr>
                <w:rFonts w:eastAsiaTheme="minorHAnsi" w:cs="Arial"/>
                <w:sz w:val="23"/>
                <w:szCs w:val="23"/>
                <w:highlight w:val="yellow"/>
              </w:rPr>
            </w:pPr>
          </w:p>
        </w:tc>
        <w:tc>
          <w:tcPr>
            <w:tcW w:w="5088" w:type="dxa"/>
            <w:gridSpan w:val="2"/>
            <w:tcBorders>
              <w:bottom w:val="single" w:sz="4" w:space="0" w:color="auto"/>
            </w:tcBorders>
          </w:tcPr>
          <w:p w:rsidR="00FF6F6A" w:rsidRPr="005A3E2A" w:rsidRDefault="00FF6F6A" w:rsidP="00FF6F6A">
            <w:pPr>
              <w:spacing w:after="0"/>
              <w:jc w:val="left"/>
              <w:rPr>
                <w:rFonts w:eastAsiaTheme="minorHAnsi" w:cs="Arial"/>
                <w:sz w:val="23"/>
                <w:szCs w:val="23"/>
                <w:highlight w:val="yellow"/>
              </w:rPr>
            </w:pPr>
          </w:p>
        </w:tc>
      </w:tr>
      <w:tr w:rsidR="00D41D59" w:rsidRPr="005A3E2A" w:rsidTr="00FF6F6A">
        <w:trPr>
          <w:trHeight w:val="2321"/>
        </w:trPr>
        <w:tc>
          <w:tcPr>
            <w:tcW w:w="3369" w:type="dxa"/>
            <w:tcBorders>
              <w:top w:val="single" w:sz="4" w:space="0" w:color="auto"/>
              <w:left w:val="single" w:sz="4" w:space="0" w:color="auto"/>
              <w:bottom w:val="single" w:sz="4" w:space="0" w:color="auto"/>
              <w:right w:val="single" w:sz="4" w:space="0" w:color="auto"/>
            </w:tcBorders>
          </w:tcPr>
          <w:p w:rsidR="00FF6F6A" w:rsidRPr="005A3E2A" w:rsidRDefault="0023599A" w:rsidP="00FF6F6A">
            <w:pPr>
              <w:spacing w:after="0"/>
              <w:jc w:val="left"/>
              <w:rPr>
                <w:rFonts w:eastAsiaTheme="minorHAnsi" w:cs="Arial"/>
                <w:b/>
                <w:sz w:val="23"/>
                <w:szCs w:val="23"/>
                <w:highlight w:val="yellow"/>
              </w:rPr>
            </w:pPr>
            <w:r w:rsidRPr="00990A11">
              <w:rPr>
                <w:rFonts w:eastAsiaTheme="minorHAnsi" w:cs="Arial"/>
                <w:b/>
                <w:sz w:val="23"/>
                <w:szCs w:val="23"/>
              </w:rPr>
              <w:t xml:space="preserve">A. Structure </w:t>
            </w:r>
          </w:p>
        </w:tc>
        <w:tc>
          <w:tcPr>
            <w:tcW w:w="3407" w:type="dxa"/>
            <w:gridSpan w:val="2"/>
            <w:tcBorders>
              <w:top w:val="single" w:sz="4" w:space="0" w:color="auto"/>
              <w:left w:val="single" w:sz="4" w:space="0" w:color="auto"/>
              <w:bottom w:val="single" w:sz="4" w:space="0" w:color="auto"/>
              <w:right w:val="single" w:sz="4" w:space="0" w:color="auto"/>
            </w:tcBorders>
          </w:tcPr>
          <w:p w:rsidR="005538BF" w:rsidRPr="00990A11" w:rsidRDefault="0023599A" w:rsidP="005538BF">
            <w:pPr>
              <w:spacing w:after="0"/>
              <w:jc w:val="left"/>
              <w:rPr>
                <w:rFonts w:eastAsiaTheme="minorHAnsi" w:cs="Arial"/>
                <w:sz w:val="23"/>
                <w:szCs w:val="23"/>
              </w:rPr>
            </w:pPr>
            <w:r w:rsidRPr="00990A11">
              <w:rPr>
                <w:rFonts w:eastAsiaTheme="minorHAnsi" w:cs="Arial"/>
                <w:sz w:val="23"/>
                <w:szCs w:val="23"/>
              </w:rPr>
              <w:t xml:space="preserve">(a) </w:t>
            </w:r>
            <w:r w:rsidR="005538BF" w:rsidRPr="00990A11">
              <w:rPr>
                <w:rFonts w:eastAsiaTheme="minorHAnsi" w:cs="Arial"/>
                <w:sz w:val="23"/>
                <w:szCs w:val="23"/>
              </w:rPr>
              <w:t xml:space="preserve">the Management of the administration of benefits </w:t>
            </w:r>
          </w:p>
          <w:p w:rsidR="005538BF" w:rsidRPr="00990A11" w:rsidRDefault="005538BF" w:rsidP="005538BF">
            <w:pPr>
              <w:spacing w:after="0"/>
              <w:jc w:val="left"/>
              <w:rPr>
                <w:rFonts w:eastAsiaTheme="minorHAnsi" w:cs="Arial"/>
                <w:sz w:val="23"/>
                <w:szCs w:val="23"/>
              </w:rPr>
            </w:pPr>
            <w:r w:rsidRPr="00990A11">
              <w:rPr>
                <w:rFonts w:eastAsiaTheme="minorHAnsi" w:cs="Arial"/>
                <w:sz w:val="23"/>
                <w:szCs w:val="23"/>
              </w:rPr>
              <w:t xml:space="preserve">and strategic management of fund assets clearly rests </w:t>
            </w:r>
          </w:p>
          <w:p w:rsidR="005538BF" w:rsidRPr="00990A11" w:rsidRDefault="005538BF" w:rsidP="005538BF">
            <w:pPr>
              <w:spacing w:after="0"/>
              <w:jc w:val="left"/>
              <w:rPr>
                <w:rFonts w:eastAsiaTheme="minorHAnsi" w:cs="Arial"/>
                <w:sz w:val="23"/>
                <w:szCs w:val="23"/>
              </w:rPr>
            </w:pPr>
            <w:r w:rsidRPr="00990A11">
              <w:rPr>
                <w:rFonts w:eastAsiaTheme="minorHAnsi" w:cs="Arial"/>
                <w:sz w:val="23"/>
                <w:szCs w:val="23"/>
              </w:rPr>
              <w:t xml:space="preserve">with the main committee established by the appointing </w:t>
            </w:r>
          </w:p>
          <w:p w:rsidR="00FF6F6A" w:rsidRPr="00990A11" w:rsidRDefault="005538BF" w:rsidP="00FF6F6A">
            <w:pPr>
              <w:spacing w:after="0"/>
              <w:jc w:val="left"/>
              <w:rPr>
                <w:rFonts w:eastAsiaTheme="minorHAnsi" w:cs="Arial"/>
                <w:sz w:val="23"/>
                <w:szCs w:val="23"/>
              </w:rPr>
            </w:pPr>
            <w:r w:rsidRPr="00990A11">
              <w:rPr>
                <w:rFonts w:eastAsiaTheme="minorHAnsi" w:cs="Arial"/>
                <w:sz w:val="23"/>
                <w:szCs w:val="23"/>
              </w:rPr>
              <w:t xml:space="preserve">Council </w:t>
            </w:r>
          </w:p>
          <w:p w:rsidR="00990A11" w:rsidRPr="00990A11" w:rsidRDefault="00990A11" w:rsidP="00FF6F6A">
            <w:pPr>
              <w:spacing w:after="0"/>
              <w:jc w:val="left"/>
              <w:rPr>
                <w:rFonts w:eastAsiaTheme="minorHAnsi" w:cs="Arial"/>
                <w:sz w:val="23"/>
                <w:szCs w:val="23"/>
              </w:rPr>
            </w:pPr>
          </w:p>
          <w:p w:rsidR="005538BF" w:rsidRPr="00990A11" w:rsidRDefault="0023599A" w:rsidP="005538BF">
            <w:pPr>
              <w:spacing w:after="0"/>
              <w:jc w:val="left"/>
              <w:rPr>
                <w:rFonts w:eastAsiaTheme="minorHAnsi" w:cs="Arial"/>
                <w:sz w:val="23"/>
                <w:szCs w:val="23"/>
              </w:rPr>
            </w:pPr>
            <w:r w:rsidRPr="00990A11">
              <w:rPr>
                <w:rFonts w:eastAsiaTheme="minorHAnsi" w:cs="Arial"/>
                <w:sz w:val="23"/>
                <w:szCs w:val="23"/>
              </w:rPr>
              <w:t xml:space="preserve">(b) </w:t>
            </w:r>
            <w:r w:rsidR="005538BF" w:rsidRPr="00990A11">
              <w:rPr>
                <w:rFonts w:eastAsiaTheme="minorHAnsi" w:cs="Arial"/>
                <w:sz w:val="23"/>
                <w:szCs w:val="23"/>
              </w:rPr>
              <w:t xml:space="preserve">that representatives of participating LGPS </w:t>
            </w:r>
          </w:p>
          <w:p w:rsidR="005538BF" w:rsidRPr="00990A11" w:rsidRDefault="005538BF" w:rsidP="005538BF">
            <w:pPr>
              <w:spacing w:after="0"/>
              <w:jc w:val="left"/>
              <w:rPr>
                <w:rFonts w:eastAsiaTheme="minorHAnsi" w:cs="Arial"/>
                <w:sz w:val="23"/>
                <w:szCs w:val="23"/>
              </w:rPr>
            </w:pPr>
            <w:r w:rsidRPr="00990A11">
              <w:rPr>
                <w:rFonts w:eastAsiaTheme="minorHAnsi" w:cs="Arial"/>
                <w:sz w:val="23"/>
                <w:szCs w:val="23"/>
              </w:rPr>
              <w:t xml:space="preserve">employers, admitted bodies and scheme members </w:t>
            </w:r>
          </w:p>
          <w:p w:rsidR="005538BF" w:rsidRPr="00990A11" w:rsidRDefault="005538BF" w:rsidP="005538BF">
            <w:pPr>
              <w:spacing w:after="0"/>
              <w:jc w:val="left"/>
              <w:rPr>
                <w:rFonts w:eastAsiaTheme="minorHAnsi" w:cs="Arial"/>
                <w:sz w:val="23"/>
                <w:szCs w:val="23"/>
              </w:rPr>
            </w:pPr>
            <w:r w:rsidRPr="00990A11">
              <w:rPr>
                <w:rFonts w:eastAsiaTheme="minorHAnsi" w:cs="Arial"/>
                <w:sz w:val="23"/>
                <w:szCs w:val="23"/>
              </w:rPr>
              <w:t xml:space="preserve">(including pensioner and deferred members) are </w:t>
            </w:r>
          </w:p>
          <w:p w:rsidR="005538BF" w:rsidRPr="00990A11" w:rsidRDefault="005538BF" w:rsidP="005538BF">
            <w:pPr>
              <w:spacing w:after="0"/>
              <w:jc w:val="left"/>
              <w:rPr>
                <w:rFonts w:eastAsiaTheme="minorHAnsi" w:cs="Arial"/>
                <w:sz w:val="23"/>
                <w:szCs w:val="23"/>
              </w:rPr>
            </w:pPr>
            <w:r w:rsidRPr="00990A11">
              <w:rPr>
                <w:rFonts w:eastAsiaTheme="minorHAnsi" w:cs="Arial"/>
                <w:sz w:val="23"/>
                <w:szCs w:val="23"/>
              </w:rPr>
              <w:t xml:space="preserve">members of either the main or secondary committee </w:t>
            </w:r>
          </w:p>
          <w:p w:rsidR="005538BF" w:rsidRPr="00990A11" w:rsidRDefault="005538BF" w:rsidP="005538BF">
            <w:pPr>
              <w:spacing w:after="0"/>
              <w:jc w:val="left"/>
              <w:rPr>
                <w:rFonts w:eastAsiaTheme="minorHAnsi" w:cs="Arial"/>
                <w:sz w:val="23"/>
                <w:szCs w:val="23"/>
              </w:rPr>
            </w:pPr>
            <w:r w:rsidRPr="00990A11">
              <w:rPr>
                <w:rFonts w:eastAsiaTheme="minorHAnsi" w:cs="Arial"/>
                <w:sz w:val="23"/>
                <w:szCs w:val="23"/>
              </w:rPr>
              <w:t xml:space="preserve">established to underpin the work of the main </w:t>
            </w:r>
          </w:p>
          <w:p w:rsidR="00FF6F6A" w:rsidRPr="00990A11" w:rsidRDefault="005538BF" w:rsidP="005538BF">
            <w:pPr>
              <w:spacing w:after="0"/>
              <w:jc w:val="left"/>
              <w:rPr>
                <w:rFonts w:eastAsiaTheme="minorHAnsi" w:cs="Arial"/>
                <w:sz w:val="23"/>
                <w:szCs w:val="23"/>
              </w:rPr>
            </w:pPr>
            <w:r w:rsidRPr="00990A11">
              <w:rPr>
                <w:rFonts w:eastAsiaTheme="minorHAnsi" w:cs="Arial"/>
                <w:sz w:val="23"/>
                <w:szCs w:val="23"/>
              </w:rPr>
              <w:t>committee</w:t>
            </w:r>
            <w:r w:rsidRPr="00990A11" w:rsidDel="005538BF">
              <w:rPr>
                <w:rFonts w:eastAsiaTheme="minorHAnsi" w:cs="Arial"/>
                <w:sz w:val="23"/>
                <w:szCs w:val="23"/>
              </w:rPr>
              <w:t xml:space="preserve"> </w:t>
            </w:r>
            <w:r w:rsidR="0023599A" w:rsidRPr="00990A11">
              <w:rPr>
                <w:rFonts w:eastAsiaTheme="minorHAnsi" w:cs="Arial"/>
                <w:sz w:val="23"/>
                <w:szCs w:val="23"/>
              </w:rPr>
              <w:t xml:space="preserve">(1) </w:t>
            </w:r>
          </w:p>
          <w:p w:rsidR="00FF6F6A" w:rsidRPr="00990A11" w:rsidRDefault="00FF6F6A" w:rsidP="00FF6F6A">
            <w:pPr>
              <w:spacing w:after="0"/>
              <w:jc w:val="left"/>
              <w:rPr>
                <w:rFonts w:eastAsiaTheme="minorHAnsi" w:cs="Arial"/>
                <w:sz w:val="23"/>
                <w:szCs w:val="23"/>
              </w:rPr>
            </w:pPr>
          </w:p>
          <w:p w:rsidR="005538BF" w:rsidRPr="00990A11" w:rsidRDefault="0023599A" w:rsidP="005538BF">
            <w:pPr>
              <w:spacing w:after="0"/>
              <w:jc w:val="left"/>
              <w:rPr>
                <w:rFonts w:eastAsiaTheme="minorHAnsi" w:cs="Arial"/>
                <w:sz w:val="23"/>
                <w:szCs w:val="23"/>
              </w:rPr>
            </w:pPr>
            <w:r w:rsidRPr="00990A11">
              <w:rPr>
                <w:rFonts w:eastAsiaTheme="minorHAnsi" w:cs="Arial"/>
                <w:sz w:val="23"/>
                <w:szCs w:val="23"/>
              </w:rPr>
              <w:t xml:space="preserve">(c) </w:t>
            </w:r>
            <w:r w:rsidR="005538BF" w:rsidRPr="00990A11">
              <w:rPr>
                <w:rFonts w:eastAsiaTheme="minorHAnsi" w:cs="Arial"/>
                <w:sz w:val="23"/>
                <w:szCs w:val="23"/>
              </w:rPr>
              <w:t xml:space="preserve">that where a secondary committee or panel has </w:t>
            </w:r>
          </w:p>
          <w:p w:rsidR="00FF6F6A" w:rsidRPr="00990A11" w:rsidRDefault="005538BF" w:rsidP="00FF6F6A">
            <w:pPr>
              <w:spacing w:after="0"/>
              <w:jc w:val="left"/>
              <w:rPr>
                <w:rFonts w:eastAsiaTheme="minorHAnsi" w:cs="Arial"/>
                <w:sz w:val="23"/>
                <w:szCs w:val="23"/>
              </w:rPr>
            </w:pPr>
            <w:r w:rsidRPr="00990A11">
              <w:rPr>
                <w:rFonts w:eastAsiaTheme="minorHAnsi" w:cs="Arial"/>
                <w:sz w:val="23"/>
                <w:szCs w:val="23"/>
              </w:rPr>
              <w:t xml:space="preserve">been established, the structure ensures effective </w:t>
            </w:r>
            <w:r w:rsidRPr="0065688B">
              <w:rPr>
                <w:rFonts w:eastAsiaTheme="minorHAnsi" w:cs="Arial"/>
                <w:sz w:val="23"/>
                <w:szCs w:val="23"/>
              </w:rPr>
              <w:t xml:space="preserve">communication across both levels. </w:t>
            </w:r>
          </w:p>
          <w:p w:rsidR="00990A11" w:rsidRPr="00990A11" w:rsidRDefault="00990A11" w:rsidP="00FF6F6A">
            <w:pPr>
              <w:spacing w:after="0"/>
              <w:jc w:val="left"/>
              <w:rPr>
                <w:rFonts w:eastAsiaTheme="minorHAnsi" w:cs="Arial"/>
                <w:sz w:val="23"/>
                <w:szCs w:val="23"/>
              </w:rPr>
            </w:pPr>
          </w:p>
          <w:p w:rsidR="005538BF" w:rsidRPr="00990A11" w:rsidRDefault="0023599A" w:rsidP="005538BF">
            <w:pPr>
              <w:spacing w:after="0"/>
              <w:jc w:val="left"/>
              <w:rPr>
                <w:rFonts w:eastAsiaTheme="minorHAnsi" w:cs="Arial"/>
                <w:sz w:val="23"/>
                <w:szCs w:val="23"/>
              </w:rPr>
            </w:pPr>
            <w:r w:rsidRPr="00990A11">
              <w:rPr>
                <w:rFonts w:eastAsiaTheme="minorHAnsi" w:cs="Arial"/>
                <w:sz w:val="23"/>
                <w:szCs w:val="23"/>
              </w:rPr>
              <w:t xml:space="preserve">(d) </w:t>
            </w:r>
            <w:r w:rsidR="005538BF" w:rsidRPr="00990A11">
              <w:rPr>
                <w:rFonts w:eastAsiaTheme="minorHAnsi" w:cs="Arial"/>
                <w:sz w:val="23"/>
                <w:szCs w:val="23"/>
              </w:rPr>
              <w:t xml:space="preserve">that where a secondary committee or panel has </w:t>
            </w:r>
          </w:p>
          <w:p w:rsidR="005538BF" w:rsidRPr="00990A11" w:rsidRDefault="005538BF" w:rsidP="005538BF">
            <w:pPr>
              <w:spacing w:after="0"/>
              <w:jc w:val="left"/>
              <w:rPr>
                <w:rFonts w:eastAsiaTheme="minorHAnsi" w:cs="Arial"/>
                <w:sz w:val="23"/>
                <w:szCs w:val="23"/>
              </w:rPr>
            </w:pPr>
            <w:r w:rsidRPr="00990A11">
              <w:rPr>
                <w:rFonts w:eastAsiaTheme="minorHAnsi" w:cs="Arial"/>
                <w:sz w:val="23"/>
                <w:szCs w:val="23"/>
              </w:rPr>
              <w:t xml:space="preserve">been established, at least one seat on the main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committee is allocated for a member from the </w:t>
            </w:r>
          </w:p>
          <w:p w:rsidR="00FF6F6A" w:rsidRPr="00990A11" w:rsidRDefault="005538BF" w:rsidP="00FF6F6A">
            <w:pPr>
              <w:spacing w:after="0"/>
              <w:jc w:val="left"/>
              <w:rPr>
                <w:rFonts w:eastAsiaTheme="minorHAnsi" w:cs="Arial"/>
                <w:sz w:val="23"/>
                <w:szCs w:val="23"/>
              </w:rPr>
            </w:pPr>
            <w:r w:rsidRPr="00990A11">
              <w:rPr>
                <w:rFonts w:eastAsiaTheme="minorHAnsi" w:cs="Arial"/>
                <w:sz w:val="23"/>
                <w:szCs w:val="23"/>
              </w:rPr>
              <w:t xml:space="preserve">secondary committee or panel. </w:t>
            </w:r>
          </w:p>
        </w:tc>
        <w:tc>
          <w:tcPr>
            <w:tcW w:w="3395" w:type="dxa"/>
            <w:tcBorders>
              <w:top w:val="single" w:sz="4" w:space="0" w:color="auto"/>
              <w:left w:val="single" w:sz="4" w:space="0" w:color="auto"/>
              <w:bottom w:val="single" w:sz="4" w:space="0" w:color="auto"/>
              <w:right w:val="single" w:sz="4" w:space="0" w:color="auto"/>
            </w:tcBorders>
          </w:tcPr>
          <w:p w:rsidR="00FF6F6A" w:rsidRPr="005A3E2A" w:rsidRDefault="00FF6F6A" w:rsidP="00FF6F6A">
            <w:pPr>
              <w:spacing w:after="0"/>
              <w:jc w:val="left"/>
              <w:rPr>
                <w:rFonts w:eastAsiaTheme="minorHAnsi" w:cs="Arial"/>
                <w:sz w:val="23"/>
                <w:szCs w:val="23"/>
                <w:highlight w:val="yellow"/>
              </w:rPr>
            </w:pPr>
          </w:p>
          <w:p w:rsidR="00FF6F6A" w:rsidRPr="00990A11" w:rsidRDefault="0023599A" w:rsidP="00FF6F6A">
            <w:pPr>
              <w:spacing w:after="0"/>
              <w:jc w:val="left"/>
              <w:rPr>
                <w:rFonts w:eastAsiaTheme="minorHAnsi" w:cs="Arial"/>
                <w:sz w:val="23"/>
                <w:szCs w:val="23"/>
              </w:rPr>
            </w:pPr>
            <w:r w:rsidRPr="00990A11">
              <w:rPr>
                <w:rFonts w:eastAsiaTheme="minorHAnsi" w:cs="Arial"/>
                <w:sz w:val="23"/>
                <w:szCs w:val="23"/>
              </w:rPr>
              <w:t xml:space="preserve">√ </w:t>
            </w: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23599A" w:rsidP="00FF6F6A">
            <w:pPr>
              <w:spacing w:after="0"/>
              <w:jc w:val="left"/>
              <w:rPr>
                <w:rFonts w:eastAsiaTheme="minorHAnsi" w:cs="Arial"/>
                <w:sz w:val="23"/>
                <w:szCs w:val="23"/>
              </w:rPr>
            </w:pPr>
            <w:r w:rsidRPr="00990A11">
              <w:rPr>
                <w:rFonts w:eastAsiaTheme="minorHAnsi" w:cs="Arial"/>
                <w:sz w:val="23"/>
                <w:szCs w:val="23"/>
              </w:rPr>
              <w:t xml:space="preserve">Partial (see Note 1) </w:t>
            </w: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5A3E2A" w:rsidRDefault="00FF6F6A" w:rsidP="00FF6F6A">
            <w:pPr>
              <w:spacing w:after="0"/>
              <w:jc w:val="left"/>
              <w:rPr>
                <w:rFonts w:eastAsiaTheme="minorHAnsi" w:cs="Arial"/>
                <w:sz w:val="23"/>
                <w:szCs w:val="23"/>
                <w:highlight w:val="yellow"/>
              </w:rPr>
            </w:pPr>
          </w:p>
          <w:p w:rsidR="00FF6F6A" w:rsidRPr="005A3E2A" w:rsidRDefault="00FF6F6A" w:rsidP="00FF6F6A">
            <w:pPr>
              <w:spacing w:after="0"/>
              <w:jc w:val="left"/>
              <w:rPr>
                <w:rFonts w:eastAsiaTheme="minorHAnsi" w:cs="Arial"/>
                <w:sz w:val="23"/>
                <w:szCs w:val="23"/>
                <w:highlight w:val="yellow"/>
              </w:rPr>
            </w:pPr>
          </w:p>
          <w:p w:rsidR="00FF6F6A" w:rsidRPr="005A3E2A" w:rsidRDefault="00FF6F6A" w:rsidP="00FF6F6A">
            <w:pPr>
              <w:spacing w:after="0"/>
              <w:jc w:val="left"/>
              <w:rPr>
                <w:rFonts w:eastAsiaTheme="minorHAnsi" w:cs="Arial"/>
                <w:sz w:val="23"/>
                <w:szCs w:val="23"/>
                <w:highlight w:val="yellow"/>
              </w:rPr>
            </w:pPr>
          </w:p>
          <w:p w:rsidR="00FF6F6A" w:rsidRPr="005A3E2A" w:rsidRDefault="00FF6F6A" w:rsidP="00FF6F6A">
            <w:pPr>
              <w:spacing w:after="0"/>
              <w:jc w:val="left"/>
              <w:rPr>
                <w:rFonts w:eastAsiaTheme="minorHAnsi" w:cs="Arial"/>
                <w:sz w:val="23"/>
                <w:szCs w:val="23"/>
                <w:highlight w:val="yellow"/>
              </w:rPr>
            </w:pPr>
          </w:p>
          <w:p w:rsidR="00FF6F6A" w:rsidRPr="005A3E2A" w:rsidRDefault="00FF6F6A" w:rsidP="00FF6F6A">
            <w:pPr>
              <w:spacing w:after="0"/>
              <w:jc w:val="left"/>
              <w:rPr>
                <w:rFonts w:eastAsiaTheme="minorHAnsi" w:cs="Arial"/>
                <w:sz w:val="23"/>
                <w:szCs w:val="23"/>
                <w:highlight w:val="yellow"/>
              </w:rPr>
            </w:pPr>
          </w:p>
          <w:p w:rsidR="00FF6F6A" w:rsidRPr="005A3E2A" w:rsidRDefault="00FF6F6A" w:rsidP="00FF6F6A">
            <w:pPr>
              <w:spacing w:after="0"/>
              <w:jc w:val="left"/>
              <w:rPr>
                <w:rFonts w:eastAsiaTheme="minorHAnsi" w:cs="Arial"/>
                <w:sz w:val="23"/>
                <w:szCs w:val="23"/>
                <w:highlight w:val="yellow"/>
              </w:rPr>
            </w:pPr>
          </w:p>
          <w:p w:rsidR="00990A11" w:rsidRDefault="00990A11" w:rsidP="00FF6F6A">
            <w:pPr>
              <w:spacing w:after="0"/>
              <w:jc w:val="left"/>
              <w:rPr>
                <w:rFonts w:eastAsiaTheme="minorHAnsi" w:cs="Arial"/>
                <w:sz w:val="23"/>
                <w:szCs w:val="23"/>
                <w:highlight w:val="yellow"/>
              </w:rPr>
            </w:pPr>
          </w:p>
          <w:p w:rsidR="00990A11" w:rsidRDefault="00990A11" w:rsidP="00FF6F6A">
            <w:pPr>
              <w:spacing w:after="0"/>
              <w:jc w:val="left"/>
              <w:rPr>
                <w:rFonts w:eastAsiaTheme="minorHAnsi" w:cs="Arial"/>
                <w:sz w:val="23"/>
                <w:szCs w:val="23"/>
                <w:highlight w:val="yellow"/>
              </w:rPr>
            </w:pPr>
          </w:p>
          <w:p w:rsidR="00990A11" w:rsidRDefault="00990A11" w:rsidP="00FF6F6A">
            <w:pPr>
              <w:spacing w:after="0"/>
              <w:jc w:val="left"/>
              <w:rPr>
                <w:rFonts w:eastAsiaTheme="minorHAnsi" w:cs="Arial"/>
                <w:sz w:val="23"/>
                <w:szCs w:val="23"/>
                <w:highlight w:val="yellow"/>
              </w:rPr>
            </w:pPr>
          </w:p>
          <w:p w:rsidR="00FF6F6A" w:rsidRPr="00990A11" w:rsidRDefault="0023599A" w:rsidP="00FF6F6A">
            <w:pPr>
              <w:spacing w:after="0"/>
              <w:jc w:val="left"/>
              <w:rPr>
                <w:rFonts w:eastAsiaTheme="minorHAnsi" w:cs="Arial"/>
                <w:sz w:val="23"/>
                <w:szCs w:val="23"/>
              </w:rPr>
            </w:pPr>
            <w:r w:rsidRPr="00990A11">
              <w:rPr>
                <w:rFonts w:eastAsiaTheme="minorHAnsi" w:cs="Arial"/>
                <w:sz w:val="23"/>
                <w:szCs w:val="23"/>
              </w:rPr>
              <w:t xml:space="preserve">√ </w:t>
            </w: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FF6F6A" w:rsidRPr="00990A11" w:rsidRDefault="00FF6F6A" w:rsidP="00FF6F6A">
            <w:pPr>
              <w:spacing w:after="0"/>
              <w:jc w:val="left"/>
              <w:rPr>
                <w:rFonts w:eastAsiaTheme="minorHAnsi" w:cs="Arial"/>
                <w:sz w:val="23"/>
                <w:szCs w:val="23"/>
              </w:rPr>
            </w:pPr>
          </w:p>
          <w:p w:rsidR="00990A11" w:rsidRPr="00990A11" w:rsidRDefault="00990A11" w:rsidP="00FF6F6A">
            <w:pPr>
              <w:spacing w:after="0"/>
              <w:jc w:val="left"/>
              <w:rPr>
                <w:rFonts w:eastAsiaTheme="minorHAnsi" w:cs="Arial"/>
                <w:sz w:val="23"/>
                <w:szCs w:val="23"/>
              </w:rPr>
            </w:pPr>
          </w:p>
          <w:p w:rsidR="00FF6F6A" w:rsidRPr="005A3E2A" w:rsidRDefault="0023599A" w:rsidP="00FF6F6A">
            <w:pPr>
              <w:spacing w:after="0"/>
              <w:jc w:val="left"/>
              <w:rPr>
                <w:rFonts w:eastAsiaTheme="minorHAnsi" w:cs="Arial"/>
                <w:sz w:val="23"/>
                <w:szCs w:val="23"/>
                <w:highlight w:val="yellow"/>
              </w:rPr>
            </w:pPr>
            <w:r w:rsidRPr="00990A11">
              <w:rPr>
                <w:rFonts w:eastAsiaTheme="minorHAnsi" w:cs="Arial"/>
                <w:sz w:val="23"/>
                <w:szCs w:val="23"/>
              </w:rPr>
              <w:t xml:space="preserve">√ </w:t>
            </w:r>
          </w:p>
        </w:tc>
      </w:tr>
      <w:tr w:rsidR="00D41D59" w:rsidRPr="005A3E2A" w:rsidTr="00FF6F6A">
        <w:trPr>
          <w:trHeight w:val="1492"/>
        </w:trPr>
        <w:tc>
          <w:tcPr>
            <w:tcW w:w="3369" w:type="dxa"/>
            <w:tcBorders>
              <w:top w:val="single" w:sz="4" w:space="0" w:color="auto"/>
              <w:left w:val="single" w:sz="4" w:space="0" w:color="auto"/>
              <w:bottom w:val="single" w:sz="4" w:space="0" w:color="auto"/>
              <w:right w:val="single" w:sz="4" w:space="0" w:color="auto"/>
            </w:tcBorders>
          </w:tcPr>
          <w:p w:rsidR="00FF6F6A" w:rsidRPr="005A3E2A" w:rsidRDefault="0023599A" w:rsidP="00FF6F6A">
            <w:pPr>
              <w:spacing w:after="0"/>
              <w:jc w:val="left"/>
              <w:rPr>
                <w:rFonts w:eastAsiaTheme="minorHAnsi" w:cs="Arial"/>
                <w:b/>
                <w:sz w:val="23"/>
                <w:szCs w:val="23"/>
                <w:highlight w:val="yellow"/>
              </w:rPr>
            </w:pPr>
            <w:r w:rsidRPr="0065688B">
              <w:rPr>
                <w:rFonts w:eastAsiaTheme="minorHAnsi" w:cs="Arial"/>
                <w:b/>
                <w:sz w:val="23"/>
                <w:szCs w:val="23"/>
              </w:rPr>
              <w:t xml:space="preserve">B. Representation </w:t>
            </w:r>
          </w:p>
        </w:tc>
        <w:tc>
          <w:tcPr>
            <w:tcW w:w="3407" w:type="dxa"/>
            <w:gridSpan w:val="2"/>
            <w:tcBorders>
              <w:top w:val="single" w:sz="4" w:space="0" w:color="auto"/>
              <w:left w:val="single" w:sz="4" w:space="0" w:color="auto"/>
              <w:bottom w:val="single" w:sz="4" w:space="0" w:color="auto"/>
              <w:right w:val="single" w:sz="4" w:space="0" w:color="auto"/>
            </w:tcBorders>
          </w:tcPr>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(a) </w:t>
            </w:r>
            <w:r w:rsidR="005538BF" w:rsidRPr="0065688B">
              <w:rPr>
                <w:rFonts w:eastAsiaTheme="minorHAnsi" w:cs="Arial"/>
                <w:sz w:val="23"/>
                <w:szCs w:val="23"/>
              </w:rPr>
              <w:t xml:space="preserve">that all key stakeholders are afforded the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opportunity to be represented within the main or </w:t>
            </w:r>
          </w:p>
          <w:p w:rsidR="00FF6F6A" w:rsidRPr="002A66AE" w:rsidRDefault="005538BF" w:rsidP="005538BF">
            <w:pPr>
              <w:spacing w:after="0"/>
              <w:jc w:val="left"/>
              <w:rPr>
                <w:rFonts w:eastAsiaTheme="minorHAnsi" w:cs="Arial"/>
                <w:sz w:val="23"/>
                <w:szCs w:val="23"/>
              </w:rPr>
            </w:pPr>
            <w:r w:rsidRPr="0065688B">
              <w:rPr>
                <w:rFonts w:eastAsiaTheme="minorHAnsi" w:cs="Arial"/>
                <w:sz w:val="23"/>
                <w:szCs w:val="23"/>
              </w:rPr>
              <w:t xml:space="preserve">secondary committee structure. (1) </w:t>
            </w:r>
          </w:p>
          <w:p w:rsidR="0065688B" w:rsidRPr="0065688B" w:rsidRDefault="0065688B"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These include: </w:t>
            </w:r>
          </w:p>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(i) </w:t>
            </w:r>
            <w:r w:rsidR="005538BF" w:rsidRPr="0065688B">
              <w:rPr>
                <w:rFonts w:eastAsiaTheme="minorHAnsi" w:cs="Arial"/>
                <w:sz w:val="23"/>
                <w:szCs w:val="23"/>
              </w:rPr>
              <w:t xml:space="preserve">employing authorities (including non-scheme </w:t>
            </w:r>
          </w:p>
          <w:p w:rsidR="0065688B"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employers, e.g. admitted bodies) </w:t>
            </w:r>
          </w:p>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(ii) </w:t>
            </w:r>
            <w:r w:rsidR="005538BF" w:rsidRPr="0065688B">
              <w:rPr>
                <w:rFonts w:eastAsiaTheme="minorHAnsi" w:cs="Arial"/>
                <w:sz w:val="23"/>
                <w:szCs w:val="23"/>
              </w:rPr>
              <w:t xml:space="preserve">scheme members (including deferred and pensioner </w:t>
            </w:r>
          </w:p>
          <w:p w:rsidR="0065688B" w:rsidRPr="0065688B" w:rsidRDefault="005538BF" w:rsidP="00FF6F6A">
            <w:pPr>
              <w:spacing w:after="0"/>
              <w:jc w:val="left"/>
              <w:rPr>
                <w:rFonts w:eastAsiaTheme="minorHAnsi" w:cs="Arial"/>
                <w:sz w:val="23"/>
                <w:szCs w:val="23"/>
              </w:rPr>
            </w:pPr>
            <w:r w:rsidRPr="0065688B">
              <w:rPr>
                <w:rFonts w:eastAsiaTheme="minorHAnsi" w:cs="Arial"/>
                <w:sz w:val="23"/>
                <w:szCs w:val="23"/>
              </w:rPr>
              <w:t xml:space="preserve">scheme members) </w:t>
            </w:r>
          </w:p>
          <w:p w:rsidR="0065688B" w:rsidRPr="0065688B" w:rsidRDefault="0023599A" w:rsidP="00FF6F6A">
            <w:pPr>
              <w:spacing w:after="0"/>
              <w:jc w:val="left"/>
              <w:rPr>
                <w:rFonts w:eastAsiaTheme="minorHAnsi" w:cs="Arial"/>
                <w:sz w:val="23"/>
                <w:szCs w:val="23"/>
              </w:rPr>
            </w:pPr>
            <w:r w:rsidRPr="0065688B">
              <w:rPr>
                <w:rFonts w:eastAsiaTheme="minorHAnsi" w:cs="Arial"/>
                <w:sz w:val="23"/>
                <w:szCs w:val="23"/>
              </w:rPr>
              <w:t>(iii) i</w:t>
            </w:r>
            <w:r w:rsidR="005538BF" w:rsidRPr="0065688B">
              <w:rPr>
                <w:rFonts w:eastAsiaTheme="minorHAnsi" w:cs="Arial"/>
                <w:sz w:val="23"/>
                <w:szCs w:val="23"/>
              </w:rPr>
              <w:t xml:space="preserve">ndependent professional observers (2) </w:t>
            </w: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lastRenderedPageBreak/>
              <w:t xml:space="preserve">(iv) </w:t>
            </w:r>
            <w:r w:rsidR="005538BF" w:rsidRPr="0065688B">
              <w:rPr>
                <w:rFonts w:eastAsiaTheme="minorHAnsi" w:cs="Arial"/>
                <w:sz w:val="23"/>
                <w:szCs w:val="23"/>
              </w:rPr>
              <w:t>expert advisers (on an ad hoc basis)</w:t>
            </w:r>
          </w:p>
        </w:tc>
        <w:tc>
          <w:tcPr>
            <w:tcW w:w="3395" w:type="dxa"/>
            <w:tcBorders>
              <w:top w:val="single" w:sz="4" w:space="0" w:color="auto"/>
              <w:left w:val="single" w:sz="4" w:space="0" w:color="auto"/>
              <w:bottom w:val="single" w:sz="4" w:space="0" w:color="auto"/>
              <w:right w:val="single" w:sz="4" w:space="0" w:color="auto"/>
            </w:tcBorders>
          </w:tcPr>
          <w:p w:rsidR="00FF6F6A" w:rsidRPr="005A3E2A" w:rsidRDefault="00FF6F6A" w:rsidP="00FF6F6A">
            <w:pPr>
              <w:spacing w:after="0"/>
              <w:jc w:val="left"/>
              <w:rPr>
                <w:rFonts w:eastAsiaTheme="minorHAnsi" w:cs="Arial"/>
                <w:sz w:val="23"/>
                <w:szCs w:val="23"/>
                <w:highlight w:val="yellow"/>
              </w:rPr>
            </w:pPr>
          </w:p>
          <w:p w:rsidR="00FF6F6A" w:rsidRPr="005A3E2A" w:rsidRDefault="0023599A" w:rsidP="00FF6F6A">
            <w:pPr>
              <w:spacing w:after="0"/>
              <w:jc w:val="left"/>
              <w:rPr>
                <w:rFonts w:eastAsiaTheme="minorHAnsi" w:cs="Arial"/>
                <w:sz w:val="23"/>
                <w:szCs w:val="23"/>
                <w:highlight w:val="yellow"/>
              </w:rPr>
            </w:pPr>
            <w:r w:rsidRPr="0065688B">
              <w:rPr>
                <w:rFonts w:eastAsiaTheme="minorHAnsi" w:cs="Arial"/>
                <w:sz w:val="23"/>
                <w:szCs w:val="23"/>
              </w:rPr>
              <w:t xml:space="preserve">Partial (see Notes 1 and 2) </w:t>
            </w:r>
          </w:p>
        </w:tc>
      </w:tr>
      <w:tr w:rsidR="00D41D59" w:rsidRPr="005A3E2A" w:rsidTr="00FF6F6A">
        <w:trPr>
          <w:trHeight w:val="1353"/>
        </w:trPr>
        <w:tc>
          <w:tcPr>
            <w:tcW w:w="3369" w:type="dxa"/>
            <w:tcBorders>
              <w:top w:val="single" w:sz="4" w:space="0" w:color="auto"/>
              <w:left w:val="single" w:sz="4" w:space="0" w:color="auto"/>
              <w:bottom w:val="single" w:sz="4" w:space="0" w:color="auto"/>
              <w:right w:val="single" w:sz="4" w:space="0" w:color="auto"/>
            </w:tcBorders>
          </w:tcPr>
          <w:p w:rsidR="00FF6F6A" w:rsidRPr="0065688B" w:rsidRDefault="0023599A" w:rsidP="00FF6F6A">
            <w:pPr>
              <w:spacing w:after="0"/>
              <w:jc w:val="left"/>
              <w:rPr>
                <w:rFonts w:eastAsiaTheme="minorHAnsi" w:cs="Arial"/>
                <w:b/>
                <w:sz w:val="23"/>
                <w:szCs w:val="23"/>
              </w:rPr>
            </w:pPr>
            <w:r w:rsidRPr="0065688B">
              <w:rPr>
                <w:rFonts w:eastAsiaTheme="minorHAnsi" w:cs="Arial"/>
                <w:b/>
                <w:sz w:val="23"/>
                <w:szCs w:val="23"/>
              </w:rPr>
              <w:t xml:space="preserve">C. Selection and Role of Lay Members </w:t>
            </w:r>
          </w:p>
        </w:tc>
        <w:tc>
          <w:tcPr>
            <w:tcW w:w="3407" w:type="dxa"/>
            <w:gridSpan w:val="2"/>
            <w:tcBorders>
              <w:top w:val="single" w:sz="4" w:space="0" w:color="auto"/>
              <w:left w:val="single" w:sz="4" w:space="0" w:color="auto"/>
              <w:bottom w:val="single" w:sz="4" w:space="0" w:color="auto"/>
              <w:right w:val="single" w:sz="4" w:space="0" w:color="auto"/>
            </w:tcBorders>
          </w:tcPr>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(a) </w:t>
            </w:r>
            <w:r w:rsidR="005538BF" w:rsidRPr="0065688B">
              <w:rPr>
                <w:rFonts w:eastAsiaTheme="minorHAnsi" w:cs="Arial"/>
                <w:sz w:val="23"/>
                <w:szCs w:val="23"/>
              </w:rPr>
              <w:t xml:space="preserve">that committee or panel members are made fully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aware of the status, role and function they are required to perform on either a main or secondary committee. (It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is the role of the administering authority to make places </w:t>
            </w:r>
          </w:p>
          <w:p w:rsidR="005538BF" w:rsidRPr="0065688B" w:rsidRDefault="005538BF" w:rsidP="0065688B">
            <w:pPr>
              <w:spacing w:after="0"/>
              <w:jc w:val="left"/>
              <w:rPr>
                <w:rFonts w:eastAsiaTheme="minorHAnsi" w:cs="Arial"/>
                <w:sz w:val="23"/>
                <w:szCs w:val="23"/>
              </w:rPr>
            </w:pPr>
            <w:r w:rsidRPr="0065688B">
              <w:rPr>
                <w:rFonts w:eastAsiaTheme="minorHAnsi" w:cs="Arial"/>
                <w:sz w:val="23"/>
                <w:szCs w:val="23"/>
              </w:rPr>
              <w:t xml:space="preserve">available for lay members and for the groups </w:t>
            </w:r>
            <w:r w:rsidR="0065688B" w:rsidRPr="0065688B">
              <w:rPr>
                <w:rFonts w:eastAsiaTheme="minorHAnsi" w:cs="Arial"/>
                <w:sz w:val="23"/>
                <w:szCs w:val="23"/>
              </w:rPr>
              <w:t>to nominate</w:t>
            </w:r>
            <w:r w:rsidRPr="0065688B">
              <w:rPr>
                <w:rFonts w:eastAsiaTheme="minorHAnsi" w:cs="Arial"/>
                <w:sz w:val="23"/>
                <w:szCs w:val="23"/>
              </w:rPr>
              <w:t xml:space="preserve"> the representatives. The lay members are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not there to represent their own local, political or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private interest but owe a duty of care to their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beneficiaries and are required to act in their best </w:t>
            </w:r>
          </w:p>
          <w:p w:rsidR="00FF6F6A" w:rsidRPr="0065688B" w:rsidRDefault="005538BF" w:rsidP="005538BF">
            <w:pPr>
              <w:spacing w:after="0"/>
              <w:jc w:val="left"/>
              <w:rPr>
                <w:rFonts w:eastAsiaTheme="minorHAnsi" w:cs="Arial"/>
                <w:sz w:val="23"/>
                <w:szCs w:val="23"/>
              </w:rPr>
            </w:pPr>
            <w:r w:rsidRPr="0065688B">
              <w:rPr>
                <w:rFonts w:eastAsiaTheme="minorHAnsi" w:cs="Arial"/>
                <w:sz w:val="23"/>
                <w:szCs w:val="23"/>
              </w:rPr>
              <w:t>interests at all time</w:t>
            </w:r>
            <w:r w:rsidR="0065688B">
              <w:rPr>
                <w:rFonts w:eastAsiaTheme="minorHAnsi" w:cs="Arial"/>
                <w:sz w:val="23"/>
                <w:szCs w:val="23"/>
              </w:rPr>
              <w:t>s</w:t>
            </w:r>
            <w:r w:rsidRPr="0065688B">
              <w:rPr>
                <w:rFonts w:eastAsiaTheme="minorHAnsi" w:cs="Arial"/>
                <w:sz w:val="23"/>
                <w:szCs w:val="23"/>
              </w:rPr>
              <w:t>.)</w:t>
            </w:r>
          </w:p>
        </w:tc>
        <w:tc>
          <w:tcPr>
            <w:tcW w:w="3395" w:type="dxa"/>
            <w:tcBorders>
              <w:top w:val="single" w:sz="4" w:space="0" w:color="auto"/>
              <w:left w:val="single" w:sz="4" w:space="0" w:color="auto"/>
              <w:bottom w:val="single" w:sz="4" w:space="0" w:color="auto"/>
              <w:right w:val="single" w:sz="4" w:space="0" w:color="auto"/>
            </w:tcBorders>
          </w:tcPr>
          <w:p w:rsidR="00FF6F6A" w:rsidRPr="005A3E2A" w:rsidRDefault="00FF6F6A" w:rsidP="00FF6F6A">
            <w:pPr>
              <w:spacing w:after="0"/>
              <w:jc w:val="left"/>
              <w:rPr>
                <w:rFonts w:eastAsiaTheme="minorHAnsi" w:cs="Arial"/>
                <w:sz w:val="23"/>
                <w:szCs w:val="23"/>
                <w:highlight w:val="yellow"/>
              </w:rPr>
            </w:pPr>
          </w:p>
          <w:p w:rsidR="00FF6F6A" w:rsidRPr="005A3E2A" w:rsidRDefault="0023599A" w:rsidP="00FF6F6A">
            <w:pPr>
              <w:spacing w:after="0"/>
              <w:jc w:val="left"/>
              <w:rPr>
                <w:rFonts w:eastAsiaTheme="minorHAnsi" w:cs="Arial"/>
                <w:sz w:val="23"/>
                <w:szCs w:val="23"/>
                <w:highlight w:val="yellow"/>
              </w:rPr>
            </w:pPr>
            <w:r w:rsidRPr="0065688B">
              <w:rPr>
                <w:rFonts w:eastAsiaTheme="minorHAnsi" w:cs="Arial"/>
                <w:sz w:val="23"/>
                <w:szCs w:val="23"/>
              </w:rPr>
              <w:t>√</w:t>
            </w:r>
            <w:r w:rsidRPr="005A3E2A">
              <w:rPr>
                <w:rFonts w:eastAsiaTheme="minorHAnsi" w:cs="Arial"/>
                <w:sz w:val="23"/>
                <w:szCs w:val="23"/>
                <w:highlight w:val="yellow"/>
              </w:rPr>
              <w:t xml:space="preserve"> </w:t>
            </w:r>
          </w:p>
        </w:tc>
      </w:tr>
      <w:tr w:rsidR="00D41D59" w:rsidRPr="005A3E2A" w:rsidTr="00FF6F6A">
        <w:trPr>
          <w:trHeight w:val="525"/>
        </w:trPr>
        <w:tc>
          <w:tcPr>
            <w:tcW w:w="3369" w:type="dxa"/>
            <w:tcBorders>
              <w:top w:val="single" w:sz="4" w:space="0" w:color="auto"/>
              <w:left w:val="single" w:sz="4" w:space="0" w:color="auto"/>
              <w:bottom w:val="single" w:sz="4" w:space="0" w:color="auto"/>
              <w:right w:val="single" w:sz="4" w:space="0" w:color="auto"/>
            </w:tcBorders>
          </w:tcPr>
          <w:p w:rsidR="00FF6F6A" w:rsidRPr="0065688B" w:rsidRDefault="0023599A" w:rsidP="00FF6F6A">
            <w:pPr>
              <w:spacing w:after="0"/>
              <w:jc w:val="left"/>
              <w:rPr>
                <w:rFonts w:eastAsiaTheme="minorHAnsi" w:cs="Arial"/>
                <w:b/>
                <w:sz w:val="23"/>
                <w:szCs w:val="23"/>
              </w:rPr>
            </w:pPr>
            <w:r w:rsidRPr="0065688B">
              <w:rPr>
                <w:rFonts w:eastAsiaTheme="minorHAnsi" w:cs="Arial"/>
                <w:b/>
                <w:sz w:val="23"/>
                <w:szCs w:val="23"/>
              </w:rPr>
              <w:t xml:space="preserve">D. Voting </w:t>
            </w:r>
          </w:p>
        </w:tc>
        <w:tc>
          <w:tcPr>
            <w:tcW w:w="3407" w:type="dxa"/>
            <w:gridSpan w:val="2"/>
            <w:tcBorders>
              <w:top w:val="single" w:sz="4" w:space="0" w:color="auto"/>
              <w:left w:val="single" w:sz="4" w:space="0" w:color="auto"/>
              <w:bottom w:val="single" w:sz="4" w:space="0" w:color="auto"/>
              <w:right w:val="single" w:sz="4" w:space="0" w:color="auto"/>
            </w:tcBorders>
          </w:tcPr>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(a) </w:t>
            </w:r>
            <w:r w:rsidR="005538BF" w:rsidRPr="0065688B">
              <w:rPr>
                <w:rFonts w:eastAsiaTheme="minorHAnsi" w:cs="Arial"/>
                <w:sz w:val="23"/>
                <w:szCs w:val="23"/>
              </w:rPr>
              <w:t xml:space="preserve">the policy of individual administering authorities on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voting rights is clear and transparent, including the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justification for not extending voting rights to each body </w:t>
            </w:r>
          </w:p>
          <w:p w:rsidR="00FF6F6A" w:rsidRPr="0065688B" w:rsidRDefault="005538BF" w:rsidP="005538BF">
            <w:pPr>
              <w:spacing w:after="0"/>
              <w:jc w:val="left"/>
              <w:rPr>
                <w:rFonts w:eastAsiaTheme="minorHAnsi" w:cs="Arial"/>
                <w:sz w:val="23"/>
                <w:szCs w:val="23"/>
              </w:rPr>
            </w:pPr>
            <w:r w:rsidRPr="0065688B">
              <w:rPr>
                <w:rFonts w:eastAsiaTheme="minorHAnsi" w:cs="Arial"/>
                <w:sz w:val="23"/>
                <w:szCs w:val="23"/>
              </w:rPr>
              <w:t>or group represented on main LGPS committees.</w:t>
            </w:r>
          </w:p>
        </w:tc>
        <w:tc>
          <w:tcPr>
            <w:tcW w:w="3395" w:type="dxa"/>
            <w:tcBorders>
              <w:top w:val="single" w:sz="4" w:space="0" w:color="auto"/>
              <w:left w:val="single" w:sz="4" w:space="0" w:color="auto"/>
              <w:bottom w:val="single" w:sz="4" w:space="0" w:color="auto"/>
              <w:right w:val="single" w:sz="4" w:space="0" w:color="auto"/>
            </w:tcBorders>
          </w:tcPr>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tc>
      </w:tr>
      <w:tr w:rsidR="00D41D59" w:rsidRPr="005A3E2A" w:rsidTr="00FF6F6A">
        <w:trPr>
          <w:trHeight w:val="1216"/>
        </w:trPr>
        <w:tc>
          <w:tcPr>
            <w:tcW w:w="3369" w:type="dxa"/>
            <w:tcBorders>
              <w:top w:val="single" w:sz="4" w:space="0" w:color="auto"/>
              <w:left w:val="single" w:sz="4" w:space="0" w:color="auto"/>
              <w:bottom w:val="single" w:sz="4" w:space="0" w:color="auto"/>
              <w:right w:val="single" w:sz="4" w:space="0" w:color="auto"/>
            </w:tcBorders>
          </w:tcPr>
          <w:p w:rsidR="00FF6F6A" w:rsidRPr="0065688B" w:rsidRDefault="0023599A" w:rsidP="00FF6F6A">
            <w:pPr>
              <w:spacing w:after="0"/>
              <w:jc w:val="left"/>
              <w:rPr>
                <w:rFonts w:eastAsiaTheme="minorHAnsi" w:cs="Arial"/>
                <w:b/>
                <w:sz w:val="23"/>
                <w:szCs w:val="23"/>
              </w:rPr>
            </w:pPr>
            <w:r w:rsidRPr="0065688B">
              <w:rPr>
                <w:rFonts w:eastAsiaTheme="minorHAnsi" w:cs="Arial"/>
                <w:b/>
                <w:sz w:val="23"/>
                <w:szCs w:val="23"/>
              </w:rPr>
              <w:t xml:space="preserve">E. Training/Facility time/expenses </w:t>
            </w:r>
          </w:p>
        </w:tc>
        <w:tc>
          <w:tcPr>
            <w:tcW w:w="3407" w:type="dxa"/>
            <w:gridSpan w:val="2"/>
            <w:tcBorders>
              <w:top w:val="single" w:sz="4" w:space="0" w:color="auto"/>
              <w:left w:val="single" w:sz="4" w:space="0" w:color="auto"/>
              <w:bottom w:val="single" w:sz="4" w:space="0" w:color="auto"/>
              <w:right w:val="single" w:sz="4" w:space="0" w:color="auto"/>
            </w:tcBorders>
          </w:tcPr>
          <w:p w:rsidR="00FF6F6A" w:rsidRPr="0065688B" w:rsidRDefault="00FF6F6A" w:rsidP="00FF6F6A">
            <w:pPr>
              <w:spacing w:after="0"/>
              <w:jc w:val="left"/>
              <w:rPr>
                <w:rFonts w:eastAsiaTheme="minorHAnsi" w:cs="Arial"/>
                <w:color w:val="auto"/>
              </w:rPr>
            </w:pPr>
          </w:p>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(a) </w:t>
            </w:r>
            <w:r w:rsidR="005538BF" w:rsidRPr="0065688B">
              <w:rPr>
                <w:rFonts w:eastAsiaTheme="minorHAnsi" w:cs="Arial"/>
                <w:sz w:val="23"/>
                <w:szCs w:val="23"/>
              </w:rPr>
              <w:t xml:space="preserve">That in relation to the way in which statutory and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related decisions are taken by the administering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authority, there is a clear policy on training, facility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time and reimbursement of expenses in respect of </w:t>
            </w:r>
          </w:p>
          <w:p w:rsidR="00FF6F6A" w:rsidRPr="0065688B" w:rsidRDefault="005538BF" w:rsidP="00FF6F6A">
            <w:pPr>
              <w:spacing w:after="0"/>
              <w:jc w:val="left"/>
              <w:rPr>
                <w:rFonts w:eastAsiaTheme="minorHAnsi" w:cs="Arial"/>
                <w:sz w:val="23"/>
                <w:szCs w:val="23"/>
              </w:rPr>
            </w:pPr>
            <w:r w:rsidRPr="0065688B">
              <w:rPr>
                <w:rFonts w:eastAsiaTheme="minorHAnsi" w:cs="Arial"/>
                <w:sz w:val="23"/>
                <w:szCs w:val="23"/>
              </w:rPr>
              <w:t xml:space="preserve">members involved in the decision-making process. </w:t>
            </w:r>
            <w:r w:rsidR="0023599A" w:rsidRPr="0065688B">
              <w:rPr>
                <w:rFonts w:eastAsiaTheme="minorHAnsi" w:cs="Arial"/>
                <w:sz w:val="23"/>
                <w:szCs w:val="23"/>
              </w:rPr>
              <w:t xml:space="preserve"> </w:t>
            </w:r>
          </w:p>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(b) </w:t>
            </w:r>
            <w:r w:rsidR="005538BF" w:rsidRPr="0065688B">
              <w:rPr>
                <w:rFonts w:eastAsiaTheme="minorHAnsi" w:cs="Arial"/>
                <w:sz w:val="23"/>
                <w:szCs w:val="23"/>
              </w:rPr>
              <w:t xml:space="preserve">That where such a policy exists, it applies equally to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all members of committees, sub-committees,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advisory panels or any other form of secondary </w:t>
            </w:r>
          </w:p>
          <w:p w:rsidR="00FF6F6A" w:rsidRPr="0065688B" w:rsidRDefault="005538BF" w:rsidP="00FF6F6A">
            <w:pPr>
              <w:spacing w:after="0"/>
              <w:jc w:val="left"/>
              <w:rPr>
                <w:rFonts w:eastAsiaTheme="minorHAnsi" w:cs="Arial"/>
                <w:sz w:val="23"/>
                <w:szCs w:val="23"/>
              </w:rPr>
            </w:pPr>
            <w:r w:rsidRPr="0065688B">
              <w:rPr>
                <w:rFonts w:eastAsiaTheme="minorHAnsi" w:cs="Arial"/>
                <w:sz w:val="23"/>
                <w:szCs w:val="23"/>
              </w:rPr>
              <w:t>forum.</w:t>
            </w:r>
          </w:p>
        </w:tc>
        <w:tc>
          <w:tcPr>
            <w:tcW w:w="3397" w:type="dxa"/>
            <w:tcBorders>
              <w:top w:val="single" w:sz="4" w:space="0" w:color="auto"/>
              <w:left w:val="single" w:sz="4" w:space="0" w:color="auto"/>
              <w:bottom w:val="single" w:sz="4" w:space="0" w:color="auto"/>
              <w:right w:val="single" w:sz="4" w:space="0" w:color="auto"/>
            </w:tcBorders>
          </w:tcPr>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tc>
      </w:tr>
      <w:tr w:rsidR="00D41D59" w:rsidRPr="005A3E2A" w:rsidTr="00FF6F6A">
        <w:trPr>
          <w:trHeight w:val="1492"/>
        </w:trPr>
        <w:tc>
          <w:tcPr>
            <w:tcW w:w="3369" w:type="dxa"/>
            <w:tcBorders>
              <w:top w:val="single" w:sz="4" w:space="0" w:color="auto"/>
              <w:left w:val="single" w:sz="4" w:space="0" w:color="auto"/>
              <w:bottom w:val="single" w:sz="4" w:space="0" w:color="auto"/>
              <w:right w:val="single" w:sz="4" w:space="0" w:color="auto"/>
            </w:tcBorders>
          </w:tcPr>
          <w:p w:rsidR="00FF6F6A" w:rsidRPr="0065688B" w:rsidRDefault="0023599A" w:rsidP="00FF6F6A">
            <w:pPr>
              <w:spacing w:after="0"/>
              <w:jc w:val="left"/>
              <w:rPr>
                <w:rFonts w:eastAsiaTheme="minorHAnsi" w:cs="Arial"/>
                <w:b/>
                <w:sz w:val="23"/>
                <w:szCs w:val="23"/>
              </w:rPr>
            </w:pPr>
            <w:r w:rsidRPr="0065688B">
              <w:rPr>
                <w:rFonts w:eastAsiaTheme="minorHAnsi" w:cs="Arial"/>
                <w:b/>
                <w:sz w:val="23"/>
                <w:szCs w:val="23"/>
              </w:rPr>
              <w:t xml:space="preserve">F. Meetings - Frequency </w:t>
            </w:r>
          </w:p>
        </w:tc>
        <w:tc>
          <w:tcPr>
            <w:tcW w:w="3407" w:type="dxa"/>
            <w:gridSpan w:val="2"/>
            <w:tcBorders>
              <w:top w:val="single" w:sz="4" w:space="0" w:color="auto"/>
              <w:left w:val="single" w:sz="4" w:space="0" w:color="auto"/>
              <w:bottom w:val="single" w:sz="4" w:space="0" w:color="auto"/>
              <w:right w:val="single" w:sz="4" w:space="0" w:color="auto"/>
            </w:tcBorders>
          </w:tcPr>
          <w:p w:rsidR="00FF6F6A"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(a) </w:t>
            </w:r>
            <w:r w:rsidR="005538BF" w:rsidRPr="0065688B">
              <w:rPr>
                <w:rFonts w:eastAsiaTheme="minorHAnsi" w:cs="Arial"/>
                <w:sz w:val="23"/>
                <w:szCs w:val="23"/>
              </w:rPr>
              <w:t xml:space="preserve">that an administering authority’s main committee or </w:t>
            </w:r>
            <w:r w:rsidR="0065688B">
              <w:rPr>
                <w:rFonts w:eastAsiaTheme="minorHAnsi" w:cs="Arial"/>
                <w:sz w:val="23"/>
                <w:szCs w:val="23"/>
              </w:rPr>
              <w:t>c</w:t>
            </w:r>
            <w:r w:rsidR="0065688B" w:rsidRPr="0065688B">
              <w:rPr>
                <w:rFonts w:eastAsiaTheme="minorHAnsi" w:cs="Arial"/>
                <w:sz w:val="23"/>
                <w:szCs w:val="23"/>
              </w:rPr>
              <w:t>ommittees</w:t>
            </w:r>
            <w:r w:rsidR="0065688B">
              <w:rPr>
                <w:rFonts w:eastAsiaTheme="minorHAnsi" w:cs="Arial"/>
                <w:sz w:val="23"/>
                <w:szCs w:val="23"/>
              </w:rPr>
              <w:t xml:space="preserve"> </w:t>
            </w:r>
            <w:r w:rsidR="005538BF" w:rsidRPr="0065688B">
              <w:rPr>
                <w:rFonts w:eastAsiaTheme="minorHAnsi" w:cs="Arial"/>
                <w:sz w:val="23"/>
                <w:szCs w:val="23"/>
              </w:rPr>
              <w:t>meet at least quarterly.</w:t>
            </w:r>
          </w:p>
          <w:p w:rsidR="00FF6F6A" w:rsidRPr="0065688B" w:rsidRDefault="00FF6F6A" w:rsidP="00FF6F6A">
            <w:pPr>
              <w:spacing w:after="0"/>
              <w:jc w:val="left"/>
              <w:rPr>
                <w:rFonts w:eastAsiaTheme="minorHAnsi" w:cs="Arial"/>
                <w:sz w:val="23"/>
                <w:szCs w:val="23"/>
              </w:rPr>
            </w:pPr>
          </w:p>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(b) </w:t>
            </w:r>
            <w:r w:rsidR="005538BF" w:rsidRPr="0065688B">
              <w:rPr>
                <w:rFonts w:eastAsiaTheme="minorHAnsi" w:cs="Arial"/>
                <w:sz w:val="23"/>
                <w:szCs w:val="23"/>
              </w:rPr>
              <w:t xml:space="preserve">that an administering authority’s secondary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lastRenderedPageBreak/>
              <w:t xml:space="preserve">committee or panel meet at least twice a year and is </w:t>
            </w:r>
          </w:p>
          <w:p w:rsidR="00FF6F6A" w:rsidRPr="0065688B" w:rsidRDefault="005538BF" w:rsidP="005538BF">
            <w:pPr>
              <w:spacing w:after="0"/>
              <w:jc w:val="left"/>
              <w:rPr>
                <w:rFonts w:eastAsiaTheme="minorHAnsi" w:cs="Arial"/>
                <w:sz w:val="23"/>
                <w:szCs w:val="23"/>
              </w:rPr>
            </w:pPr>
            <w:r w:rsidRPr="0065688B">
              <w:rPr>
                <w:rFonts w:eastAsiaTheme="minorHAnsi" w:cs="Arial"/>
                <w:sz w:val="23"/>
                <w:szCs w:val="23"/>
              </w:rPr>
              <w:t>synchronised with the dates when the main committee sit.</w:t>
            </w: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(c) </w:t>
            </w:r>
            <w:r w:rsidR="005538BF" w:rsidRPr="0065688B">
              <w:rPr>
                <w:rFonts w:eastAsiaTheme="minorHAnsi" w:cs="Arial"/>
                <w:sz w:val="23"/>
                <w:szCs w:val="23"/>
              </w:rPr>
              <w:t xml:space="preserve">that administering authorities who do not include lay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members in their formal governance arrangements,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provide a forum outside of those arrangements by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which the interests of key stakeholders can be </w:t>
            </w:r>
          </w:p>
          <w:p w:rsidR="00FF6F6A" w:rsidRPr="0065688B" w:rsidRDefault="005538BF" w:rsidP="005538BF">
            <w:pPr>
              <w:spacing w:after="0"/>
              <w:jc w:val="left"/>
              <w:rPr>
                <w:rFonts w:eastAsiaTheme="minorHAnsi" w:cs="Arial"/>
                <w:sz w:val="23"/>
                <w:szCs w:val="23"/>
              </w:rPr>
            </w:pPr>
            <w:r w:rsidRPr="0065688B">
              <w:rPr>
                <w:rFonts w:eastAsiaTheme="minorHAnsi" w:cs="Arial"/>
                <w:sz w:val="23"/>
                <w:szCs w:val="23"/>
              </w:rPr>
              <w:t>represented.</w:t>
            </w:r>
          </w:p>
        </w:tc>
        <w:tc>
          <w:tcPr>
            <w:tcW w:w="3397" w:type="dxa"/>
            <w:tcBorders>
              <w:top w:val="single" w:sz="4" w:space="0" w:color="auto"/>
              <w:left w:val="single" w:sz="4" w:space="0" w:color="auto"/>
              <w:bottom w:val="single" w:sz="4" w:space="0" w:color="auto"/>
              <w:right w:val="single" w:sz="4" w:space="0" w:color="auto"/>
            </w:tcBorders>
          </w:tcPr>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tc>
      </w:tr>
      <w:tr w:rsidR="00D41D59" w:rsidRPr="005A3E2A" w:rsidTr="00FF6F6A">
        <w:trPr>
          <w:trHeight w:val="664"/>
        </w:trPr>
        <w:tc>
          <w:tcPr>
            <w:tcW w:w="3369" w:type="dxa"/>
            <w:tcBorders>
              <w:top w:val="single" w:sz="4" w:space="0" w:color="auto"/>
              <w:left w:val="single" w:sz="4" w:space="0" w:color="auto"/>
              <w:bottom w:val="single" w:sz="4" w:space="0" w:color="auto"/>
              <w:right w:val="single" w:sz="4" w:space="0" w:color="auto"/>
            </w:tcBorders>
          </w:tcPr>
          <w:p w:rsidR="00FF6F6A" w:rsidRPr="0065688B" w:rsidRDefault="0023599A" w:rsidP="00FF6F6A">
            <w:pPr>
              <w:spacing w:after="0"/>
              <w:jc w:val="left"/>
              <w:rPr>
                <w:rFonts w:eastAsiaTheme="minorHAnsi" w:cs="Arial"/>
                <w:b/>
                <w:sz w:val="23"/>
                <w:szCs w:val="23"/>
              </w:rPr>
            </w:pPr>
            <w:r w:rsidRPr="0065688B">
              <w:rPr>
                <w:rFonts w:eastAsiaTheme="minorHAnsi" w:cs="Arial"/>
                <w:b/>
                <w:sz w:val="23"/>
                <w:szCs w:val="23"/>
              </w:rPr>
              <w:lastRenderedPageBreak/>
              <w:t xml:space="preserve">G. Access </w:t>
            </w:r>
          </w:p>
        </w:tc>
        <w:tc>
          <w:tcPr>
            <w:tcW w:w="3407" w:type="dxa"/>
            <w:gridSpan w:val="2"/>
            <w:tcBorders>
              <w:top w:val="single" w:sz="4" w:space="0" w:color="auto"/>
              <w:left w:val="single" w:sz="4" w:space="0" w:color="auto"/>
              <w:bottom w:val="single" w:sz="4" w:space="0" w:color="auto"/>
              <w:right w:val="single" w:sz="4" w:space="0" w:color="auto"/>
            </w:tcBorders>
          </w:tcPr>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(a) </w:t>
            </w:r>
            <w:r w:rsidR="005538BF" w:rsidRPr="0065688B">
              <w:rPr>
                <w:rFonts w:eastAsiaTheme="minorHAnsi" w:cs="Arial"/>
                <w:sz w:val="23"/>
                <w:szCs w:val="23"/>
              </w:rPr>
              <w:t xml:space="preserve">that subject to any rules in the council’s constitution,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all members of main and secondary committees or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panels have equal access to committee papers,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documents and advice that falls to be considered at </w:t>
            </w:r>
          </w:p>
          <w:p w:rsidR="00FF6F6A" w:rsidRPr="0065688B" w:rsidRDefault="005538BF" w:rsidP="005538BF">
            <w:pPr>
              <w:spacing w:after="0"/>
              <w:jc w:val="left"/>
              <w:rPr>
                <w:rFonts w:eastAsiaTheme="minorHAnsi" w:cs="Arial"/>
                <w:sz w:val="23"/>
                <w:szCs w:val="23"/>
              </w:rPr>
            </w:pPr>
            <w:r w:rsidRPr="0065688B">
              <w:rPr>
                <w:rFonts w:eastAsiaTheme="minorHAnsi" w:cs="Arial"/>
                <w:sz w:val="23"/>
                <w:szCs w:val="23"/>
              </w:rPr>
              <w:t>meetings of the main committee.</w:t>
            </w:r>
          </w:p>
        </w:tc>
        <w:tc>
          <w:tcPr>
            <w:tcW w:w="3397" w:type="dxa"/>
            <w:tcBorders>
              <w:top w:val="single" w:sz="4" w:space="0" w:color="auto"/>
              <w:left w:val="single" w:sz="4" w:space="0" w:color="auto"/>
              <w:bottom w:val="single" w:sz="4" w:space="0" w:color="auto"/>
              <w:right w:val="single" w:sz="4" w:space="0" w:color="auto"/>
            </w:tcBorders>
          </w:tcPr>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tc>
      </w:tr>
      <w:tr w:rsidR="00D41D59" w:rsidRPr="005A3E2A" w:rsidTr="00FF6F6A">
        <w:trPr>
          <w:trHeight w:val="388"/>
        </w:trPr>
        <w:tc>
          <w:tcPr>
            <w:tcW w:w="3369" w:type="dxa"/>
            <w:tcBorders>
              <w:top w:val="single" w:sz="4" w:space="0" w:color="auto"/>
              <w:left w:val="single" w:sz="4" w:space="0" w:color="auto"/>
              <w:bottom w:val="single" w:sz="4" w:space="0" w:color="auto"/>
              <w:right w:val="single" w:sz="4" w:space="0" w:color="auto"/>
            </w:tcBorders>
          </w:tcPr>
          <w:p w:rsidR="00FF6F6A" w:rsidRPr="0065688B" w:rsidRDefault="0023599A" w:rsidP="00FF6F6A">
            <w:pPr>
              <w:spacing w:after="0"/>
              <w:jc w:val="left"/>
              <w:rPr>
                <w:rFonts w:eastAsiaTheme="minorHAnsi" w:cs="Arial"/>
                <w:b/>
                <w:sz w:val="23"/>
                <w:szCs w:val="23"/>
              </w:rPr>
            </w:pPr>
            <w:r w:rsidRPr="0065688B">
              <w:rPr>
                <w:rFonts w:eastAsiaTheme="minorHAnsi" w:cs="Arial"/>
                <w:b/>
                <w:sz w:val="23"/>
                <w:szCs w:val="23"/>
              </w:rPr>
              <w:t xml:space="preserve">H. Scope </w:t>
            </w:r>
          </w:p>
        </w:tc>
        <w:tc>
          <w:tcPr>
            <w:tcW w:w="3407" w:type="dxa"/>
            <w:gridSpan w:val="2"/>
            <w:tcBorders>
              <w:top w:val="single" w:sz="4" w:space="0" w:color="auto"/>
              <w:left w:val="single" w:sz="4" w:space="0" w:color="auto"/>
              <w:bottom w:val="single" w:sz="4" w:space="0" w:color="auto"/>
              <w:right w:val="single" w:sz="4" w:space="0" w:color="auto"/>
            </w:tcBorders>
          </w:tcPr>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(a) </w:t>
            </w:r>
            <w:r w:rsidR="005538BF" w:rsidRPr="0065688B">
              <w:rPr>
                <w:rFonts w:eastAsiaTheme="minorHAnsi" w:cs="Arial"/>
                <w:sz w:val="23"/>
                <w:szCs w:val="23"/>
              </w:rPr>
              <w:t xml:space="preserve">that administering authorities have taken steps to </w:t>
            </w:r>
          </w:p>
          <w:p w:rsidR="00FF6F6A" w:rsidRPr="0065688B" w:rsidRDefault="005538BF" w:rsidP="005538BF">
            <w:pPr>
              <w:spacing w:after="0"/>
              <w:jc w:val="left"/>
              <w:rPr>
                <w:rFonts w:eastAsiaTheme="minorHAnsi" w:cs="Arial"/>
                <w:sz w:val="23"/>
                <w:szCs w:val="23"/>
              </w:rPr>
            </w:pPr>
            <w:r w:rsidRPr="0065688B">
              <w:rPr>
                <w:rFonts w:eastAsiaTheme="minorHAnsi" w:cs="Arial"/>
                <w:sz w:val="23"/>
                <w:szCs w:val="23"/>
              </w:rPr>
              <w:t>bring wider scheme issues within the scope of their governance arrangements</w:t>
            </w:r>
            <w:r w:rsidR="0065688B" w:rsidRPr="0065688B">
              <w:rPr>
                <w:rFonts w:eastAsiaTheme="minorHAnsi" w:cs="Arial"/>
                <w:sz w:val="23"/>
                <w:szCs w:val="23"/>
              </w:rPr>
              <w:t>.</w:t>
            </w:r>
            <w:r w:rsidR="0023599A" w:rsidRPr="0065688B">
              <w:rPr>
                <w:rFonts w:eastAsiaTheme="minorHAnsi" w:cs="Arial"/>
                <w:sz w:val="23"/>
                <w:szCs w:val="23"/>
              </w:rPr>
              <w:t xml:space="preserve"> </w:t>
            </w:r>
          </w:p>
        </w:tc>
        <w:tc>
          <w:tcPr>
            <w:tcW w:w="3397" w:type="dxa"/>
            <w:tcBorders>
              <w:top w:val="single" w:sz="4" w:space="0" w:color="auto"/>
              <w:left w:val="single" w:sz="4" w:space="0" w:color="auto"/>
              <w:bottom w:val="single" w:sz="4" w:space="0" w:color="auto"/>
              <w:right w:val="single" w:sz="4" w:space="0" w:color="auto"/>
            </w:tcBorders>
          </w:tcPr>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tc>
      </w:tr>
      <w:tr w:rsidR="00D41D59" w:rsidRPr="005A3E2A" w:rsidTr="00FF6F6A">
        <w:trPr>
          <w:trHeight w:val="664"/>
        </w:trPr>
        <w:tc>
          <w:tcPr>
            <w:tcW w:w="3369" w:type="dxa"/>
            <w:tcBorders>
              <w:top w:val="single" w:sz="4" w:space="0" w:color="auto"/>
              <w:left w:val="single" w:sz="4" w:space="0" w:color="auto"/>
              <w:bottom w:val="single" w:sz="4" w:space="0" w:color="auto"/>
              <w:right w:val="single" w:sz="4" w:space="0" w:color="auto"/>
            </w:tcBorders>
          </w:tcPr>
          <w:p w:rsidR="00FF6F6A" w:rsidRPr="0065688B" w:rsidRDefault="0023599A" w:rsidP="00FF6F6A">
            <w:pPr>
              <w:spacing w:after="0"/>
              <w:jc w:val="left"/>
              <w:rPr>
                <w:rFonts w:eastAsiaTheme="minorHAnsi" w:cs="Arial"/>
                <w:b/>
                <w:sz w:val="23"/>
                <w:szCs w:val="23"/>
              </w:rPr>
            </w:pPr>
            <w:r w:rsidRPr="0065688B">
              <w:rPr>
                <w:rFonts w:eastAsiaTheme="minorHAnsi" w:cs="Arial"/>
                <w:b/>
                <w:sz w:val="23"/>
                <w:szCs w:val="23"/>
              </w:rPr>
              <w:t xml:space="preserve">I. Publicity </w:t>
            </w:r>
          </w:p>
        </w:tc>
        <w:tc>
          <w:tcPr>
            <w:tcW w:w="3407" w:type="dxa"/>
            <w:gridSpan w:val="2"/>
            <w:tcBorders>
              <w:top w:val="single" w:sz="4" w:space="0" w:color="auto"/>
              <w:left w:val="single" w:sz="4" w:space="0" w:color="auto"/>
              <w:bottom w:val="single" w:sz="4" w:space="0" w:color="auto"/>
              <w:right w:val="single" w:sz="4" w:space="0" w:color="auto"/>
            </w:tcBorders>
          </w:tcPr>
          <w:p w:rsidR="005538BF" w:rsidRPr="0065688B" w:rsidRDefault="0023599A" w:rsidP="005538BF">
            <w:pPr>
              <w:spacing w:after="0"/>
              <w:jc w:val="left"/>
              <w:rPr>
                <w:rFonts w:eastAsiaTheme="minorHAnsi" w:cs="Arial"/>
                <w:sz w:val="23"/>
                <w:szCs w:val="23"/>
              </w:rPr>
            </w:pPr>
            <w:r w:rsidRPr="0065688B">
              <w:rPr>
                <w:rFonts w:eastAsiaTheme="minorHAnsi" w:cs="Arial"/>
                <w:sz w:val="23"/>
                <w:szCs w:val="23"/>
              </w:rPr>
              <w:t xml:space="preserve">(a) </w:t>
            </w:r>
            <w:r w:rsidR="005538BF" w:rsidRPr="0065688B">
              <w:rPr>
                <w:rFonts w:eastAsiaTheme="minorHAnsi" w:cs="Arial"/>
                <w:sz w:val="23"/>
                <w:szCs w:val="23"/>
              </w:rPr>
              <w:t xml:space="preserve">that administering authorities have published details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of their governance arrangements in such a way that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stakeholders with an interest in the way in which the </w:t>
            </w:r>
          </w:p>
          <w:p w:rsidR="005538BF" w:rsidRPr="0065688B" w:rsidRDefault="005538BF" w:rsidP="005538BF">
            <w:pPr>
              <w:spacing w:after="0"/>
              <w:jc w:val="left"/>
              <w:rPr>
                <w:rFonts w:eastAsiaTheme="minorHAnsi" w:cs="Arial"/>
                <w:sz w:val="23"/>
                <w:szCs w:val="23"/>
              </w:rPr>
            </w:pPr>
            <w:r w:rsidRPr="0065688B">
              <w:rPr>
                <w:rFonts w:eastAsiaTheme="minorHAnsi" w:cs="Arial"/>
                <w:sz w:val="23"/>
                <w:szCs w:val="23"/>
              </w:rPr>
              <w:t xml:space="preserve">scheme is governed can express an interest in wanting </w:t>
            </w:r>
          </w:p>
          <w:p w:rsidR="00FF6F6A" w:rsidRPr="0065688B" w:rsidRDefault="005538BF" w:rsidP="005538BF">
            <w:pPr>
              <w:spacing w:after="0"/>
              <w:jc w:val="left"/>
              <w:rPr>
                <w:rFonts w:eastAsiaTheme="minorHAnsi" w:cs="Arial"/>
                <w:sz w:val="23"/>
                <w:szCs w:val="23"/>
              </w:rPr>
            </w:pPr>
            <w:r w:rsidRPr="0065688B">
              <w:rPr>
                <w:rFonts w:eastAsiaTheme="minorHAnsi" w:cs="Arial"/>
                <w:sz w:val="23"/>
                <w:szCs w:val="23"/>
              </w:rPr>
              <w:t>to be part of those arrangements.</w:t>
            </w:r>
          </w:p>
        </w:tc>
        <w:tc>
          <w:tcPr>
            <w:tcW w:w="3397" w:type="dxa"/>
            <w:tcBorders>
              <w:top w:val="single" w:sz="4" w:space="0" w:color="auto"/>
              <w:left w:val="single" w:sz="4" w:space="0" w:color="auto"/>
              <w:bottom w:val="single" w:sz="4" w:space="0" w:color="auto"/>
              <w:right w:val="single" w:sz="4" w:space="0" w:color="auto"/>
            </w:tcBorders>
          </w:tcPr>
          <w:p w:rsidR="00FF6F6A" w:rsidRPr="0065688B" w:rsidRDefault="00FF6F6A" w:rsidP="00FF6F6A">
            <w:pPr>
              <w:spacing w:after="0"/>
              <w:jc w:val="left"/>
              <w:rPr>
                <w:rFonts w:eastAsiaTheme="minorHAnsi" w:cs="Arial"/>
                <w:sz w:val="23"/>
                <w:szCs w:val="23"/>
              </w:rPr>
            </w:pPr>
          </w:p>
          <w:p w:rsidR="00FF6F6A" w:rsidRPr="0065688B" w:rsidRDefault="0023599A" w:rsidP="00FF6F6A">
            <w:pPr>
              <w:spacing w:after="0"/>
              <w:jc w:val="left"/>
              <w:rPr>
                <w:rFonts w:eastAsiaTheme="minorHAnsi" w:cs="Arial"/>
                <w:sz w:val="23"/>
                <w:szCs w:val="23"/>
              </w:rPr>
            </w:pPr>
            <w:r w:rsidRPr="0065688B">
              <w:rPr>
                <w:rFonts w:eastAsiaTheme="minorHAnsi" w:cs="Arial"/>
                <w:sz w:val="23"/>
                <w:szCs w:val="23"/>
              </w:rPr>
              <w:t xml:space="preserve">√ </w:t>
            </w:r>
          </w:p>
        </w:tc>
      </w:tr>
    </w:tbl>
    <w:p w:rsidR="00FF6F6A" w:rsidRPr="005A3E2A" w:rsidRDefault="00FF6F6A" w:rsidP="00FF6F6A">
      <w:pPr>
        <w:autoSpaceDE/>
        <w:autoSpaceDN/>
        <w:adjustRightInd/>
        <w:spacing w:after="0"/>
        <w:jc w:val="left"/>
        <w:rPr>
          <w:highlight w:val="yellow"/>
        </w:rPr>
      </w:pPr>
    </w:p>
    <w:p w:rsidR="00FF6F6A" w:rsidRPr="005A3E2A" w:rsidRDefault="00FF6F6A" w:rsidP="00FF6F6A">
      <w:pPr>
        <w:spacing w:after="0"/>
        <w:jc w:val="left"/>
        <w:rPr>
          <w:rFonts w:eastAsiaTheme="minorHAnsi" w:cs="Arial"/>
          <w:highlight w:val="yellow"/>
        </w:rPr>
      </w:pPr>
    </w:p>
    <w:p w:rsidR="00FF6F6A" w:rsidRPr="0065688B" w:rsidRDefault="0023599A" w:rsidP="00FF6F6A">
      <w:pPr>
        <w:spacing w:after="0"/>
        <w:jc w:val="left"/>
        <w:rPr>
          <w:rFonts w:eastAsiaTheme="minorHAnsi" w:cs="Arial"/>
          <w:b/>
          <w:color w:val="auto"/>
          <w:sz w:val="23"/>
          <w:szCs w:val="23"/>
        </w:rPr>
      </w:pPr>
      <w:r w:rsidRPr="0065688B">
        <w:rPr>
          <w:rFonts w:eastAsiaTheme="minorHAnsi" w:cs="Arial"/>
          <w:b/>
          <w:color w:val="auto"/>
          <w:sz w:val="23"/>
          <w:szCs w:val="23"/>
        </w:rPr>
        <w:t xml:space="preserve">Notes - Reasons for partial compliance </w:t>
      </w:r>
    </w:p>
    <w:p w:rsidR="00FF6F6A" w:rsidRPr="0065688B" w:rsidRDefault="00FF6F6A" w:rsidP="00FF6F6A">
      <w:pPr>
        <w:spacing w:after="0"/>
        <w:jc w:val="left"/>
        <w:rPr>
          <w:rFonts w:eastAsiaTheme="minorHAnsi" w:cs="Arial"/>
          <w:color w:val="auto"/>
          <w:sz w:val="23"/>
          <w:szCs w:val="23"/>
        </w:rPr>
      </w:pPr>
    </w:p>
    <w:p w:rsidR="00FF6F6A" w:rsidRPr="0065688B" w:rsidRDefault="0023599A" w:rsidP="005538BF">
      <w:pPr>
        <w:pStyle w:val="ListParagraph"/>
        <w:numPr>
          <w:ilvl w:val="0"/>
          <w:numId w:val="36"/>
        </w:numPr>
        <w:spacing w:after="0"/>
        <w:jc w:val="left"/>
        <w:rPr>
          <w:rFonts w:eastAsiaTheme="minorHAnsi" w:cs="Arial"/>
          <w:color w:val="auto"/>
          <w:sz w:val="23"/>
          <w:szCs w:val="23"/>
        </w:rPr>
      </w:pPr>
      <w:r w:rsidRPr="0065688B">
        <w:rPr>
          <w:rFonts w:eastAsiaTheme="minorHAnsi" w:cs="Arial"/>
          <w:color w:val="auto"/>
          <w:sz w:val="23"/>
          <w:szCs w:val="23"/>
        </w:rPr>
        <w:t xml:space="preserve">Unitary Councils, District Councils and Further and Higher Education employers, are represented. Other admitted bodies only represent </w:t>
      </w:r>
      <w:r w:rsidRPr="0065688B">
        <w:rPr>
          <w:rFonts w:eastAsiaTheme="minorHAnsi" w:cs="Arial"/>
          <w:bCs/>
          <w:color w:val="auto"/>
          <w:sz w:val="23"/>
          <w:szCs w:val="23"/>
        </w:rPr>
        <w:t>9%</w:t>
      </w:r>
      <w:r w:rsidRPr="0065688B">
        <w:rPr>
          <w:rFonts w:eastAsiaTheme="minorHAnsi" w:cs="Arial"/>
          <w:b/>
          <w:bCs/>
          <w:color w:val="auto"/>
          <w:sz w:val="23"/>
          <w:szCs w:val="23"/>
        </w:rPr>
        <w:t xml:space="preserve"> </w:t>
      </w:r>
      <w:r w:rsidRPr="0065688B">
        <w:rPr>
          <w:rFonts w:eastAsiaTheme="minorHAnsi" w:cs="Arial"/>
          <w:color w:val="auto"/>
          <w:sz w:val="23"/>
          <w:szCs w:val="23"/>
        </w:rPr>
        <w:t>of contributors to the Fund and are therefore not represented. However, all employers receive a full annual report and are alerted to important events. Although employee representatives, i.e. Trade Unions, do not formally represent deferred and pensioner scheme members, it is accepted that representation is available to deferred and pensioners members via this route where necessary and/or appropriate. In addition the interests of all scheme members and employers are specifically represented in the composition of the Local Pension Board.</w:t>
      </w:r>
    </w:p>
    <w:p w:rsidR="00FF6F6A" w:rsidRPr="0065688B" w:rsidRDefault="00FF6F6A" w:rsidP="00FF6F6A">
      <w:pPr>
        <w:pStyle w:val="ListParagraph"/>
        <w:spacing w:after="0"/>
        <w:jc w:val="left"/>
        <w:rPr>
          <w:rFonts w:eastAsiaTheme="minorHAnsi" w:cs="Arial"/>
          <w:color w:val="auto"/>
          <w:sz w:val="23"/>
          <w:szCs w:val="23"/>
        </w:rPr>
      </w:pPr>
    </w:p>
    <w:p w:rsidR="00FF6F6A" w:rsidRPr="0065688B" w:rsidRDefault="0023599A" w:rsidP="00F91786">
      <w:pPr>
        <w:pStyle w:val="ListParagraph"/>
        <w:numPr>
          <w:ilvl w:val="0"/>
          <w:numId w:val="36"/>
        </w:numPr>
        <w:autoSpaceDE/>
        <w:autoSpaceDN/>
        <w:adjustRightInd/>
        <w:spacing w:after="0"/>
        <w:jc w:val="left"/>
      </w:pPr>
      <w:r w:rsidRPr="0065688B">
        <w:rPr>
          <w:rFonts w:eastAsiaTheme="minorHAnsi" w:cs="Arial"/>
          <w:color w:val="auto"/>
          <w:sz w:val="23"/>
          <w:szCs w:val="23"/>
        </w:rPr>
        <w:t xml:space="preserve">Guidance envisaged that an independent professional observer could be invited to participate in governance arrangements to enhance the experience, continuity, knowledge, impartiality and </w:t>
      </w:r>
      <w:r w:rsidRPr="0065688B">
        <w:rPr>
          <w:rFonts w:eastAsiaTheme="minorHAnsi" w:cs="Arial"/>
          <w:color w:val="auto"/>
          <w:sz w:val="23"/>
          <w:szCs w:val="23"/>
        </w:rPr>
        <w:lastRenderedPageBreak/>
        <w:t>performance of committees or panels which would improve the public perception that high standards of governance are a reality and not just an aspiration. This role is currently performed by the Fund’s independent advisers and officers and it is not apparent what added value such an appointment .would bring.</w:t>
      </w:r>
    </w:p>
    <w:p w:rsidR="00FF6F6A" w:rsidRDefault="00FF6F6A" w:rsidP="00FF6F6A">
      <w:pPr>
        <w:autoSpaceDE/>
        <w:autoSpaceDN/>
        <w:adjustRightInd/>
        <w:spacing w:after="0"/>
        <w:jc w:val="left"/>
      </w:pPr>
    </w:p>
    <w:p w:rsidR="00FF6F6A" w:rsidRDefault="00FF6F6A" w:rsidP="00FF6F6A">
      <w:pPr>
        <w:autoSpaceDE/>
        <w:autoSpaceDN/>
        <w:adjustRightInd/>
        <w:spacing w:after="0"/>
        <w:jc w:val="left"/>
      </w:pPr>
    </w:p>
    <w:p w:rsidR="00FF6F6A" w:rsidRDefault="00FF6F6A"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65688B" w:rsidRDefault="0065688B" w:rsidP="00FF6F6A">
      <w:pPr>
        <w:autoSpaceDE/>
        <w:autoSpaceDN/>
        <w:adjustRightInd/>
        <w:spacing w:after="0"/>
        <w:jc w:val="left"/>
      </w:pPr>
    </w:p>
    <w:p w:rsidR="00FF6F6A" w:rsidRDefault="0023599A" w:rsidP="00FF6F6A">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t>D  Administration</w:t>
      </w:r>
      <w:r w:rsidRPr="006033C8">
        <w:rPr>
          <w:rFonts w:eastAsia="Times New Roman" w:cs="Times New Roman"/>
          <w:b/>
          <w:snapToGrid w:val="0"/>
          <w:sz w:val="32"/>
          <w:szCs w:val="32"/>
        </w:rPr>
        <w:t xml:space="preserve"> of the Fund</w:t>
      </w:r>
    </w:p>
    <w:p w:rsidR="00FF6F6A" w:rsidRPr="00AB648B" w:rsidRDefault="00FF6F6A" w:rsidP="00FF6F6A">
      <w:pPr>
        <w:autoSpaceDE/>
        <w:autoSpaceDN/>
        <w:adjustRightInd/>
        <w:spacing w:after="0"/>
        <w:ind w:left="360"/>
        <w:jc w:val="left"/>
        <w:rPr>
          <w:rFonts w:eastAsia="Times New Roman" w:cs="Times New Roman"/>
          <w:b/>
          <w:snapToGrid w:val="0"/>
          <w:color w:val="auto"/>
          <w:sz w:val="28"/>
          <w:szCs w:val="28"/>
        </w:rPr>
      </w:pPr>
    </w:p>
    <w:p w:rsidR="00FF6F6A" w:rsidRPr="00AB648B" w:rsidRDefault="00FF6F6A" w:rsidP="00FF6F6A">
      <w:pPr>
        <w:autoSpaceDE/>
        <w:autoSpaceDN/>
        <w:adjustRightInd/>
        <w:spacing w:after="0"/>
        <w:jc w:val="left"/>
        <w:rPr>
          <w:rFonts w:eastAsia="Times New Roman" w:cs="Times New Roman"/>
          <w:color w:val="auto"/>
          <w:szCs w:val="20"/>
          <w:highlight w:val="yellow"/>
          <w:lang w:eastAsia="en-GB"/>
        </w:rPr>
      </w:pPr>
    </w:p>
    <w:p w:rsidR="005A3E2A" w:rsidRPr="00296F1C" w:rsidRDefault="005A3E2A" w:rsidP="005A3E2A">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Background to Lancashire County Pension Fund and the Local Government Pension Scheme</w:t>
      </w: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The Local Government Pension Scheme is a statutory public sector pension scheme which operates on a "defined benefit basis".  Lancashire County Council as "Administering Authority" is required by law to administer the Scheme within the geographical area of Lancashire.</w:t>
      </w:r>
    </w:p>
    <w:p w:rsidR="005A3E2A" w:rsidRPr="00296F1C" w:rsidRDefault="005A3E2A" w:rsidP="005A3E2A">
      <w:pPr>
        <w:autoSpaceDE/>
        <w:autoSpaceDN/>
        <w:adjustRightInd/>
        <w:spacing w:after="0"/>
        <w:jc w:val="left"/>
        <w:rPr>
          <w:rFonts w:eastAsia="Times New Roman" w:cs="Arial"/>
          <w:color w:val="auto"/>
          <w:lang w:eastAsia="en-GB"/>
        </w:rPr>
      </w:pP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lastRenderedPageBreak/>
        <w:t>Pension administration services are provided to Lancashire County Pension Fund by the Local Pensions Partnership.</w:t>
      </w:r>
    </w:p>
    <w:p w:rsidR="005A3E2A" w:rsidRPr="00296F1C" w:rsidRDefault="005A3E2A" w:rsidP="005A3E2A">
      <w:pPr>
        <w:autoSpaceDE/>
        <w:autoSpaceDN/>
        <w:adjustRightInd/>
        <w:spacing w:after="0"/>
        <w:jc w:val="left"/>
        <w:rPr>
          <w:rFonts w:eastAsia="Times New Roman" w:cs="Arial"/>
          <w:color w:val="auto"/>
          <w:highlight w:val="yellow"/>
          <w:lang w:eastAsia="en-GB"/>
        </w:rPr>
      </w:pPr>
    </w:p>
    <w:p w:rsidR="005A3E2A" w:rsidRPr="00296F1C" w:rsidRDefault="005A3E2A" w:rsidP="005A3E2A">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Review of the Year </w:t>
      </w:r>
    </w:p>
    <w:p w:rsidR="005A3E2A" w:rsidRPr="00296F1C" w:rsidRDefault="005A3E2A" w:rsidP="005A3E2A">
      <w:pPr>
        <w:autoSpaceDE/>
        <w:autoSpaceDN/>
        <w:adjustRightInd/>
        <w:spacing w:after="0"/>
        <w:jc w:val="left"/>
        <w:rPr>
          <w:rFonts w:cs="Arial"/>
        </w:rPr>
      </w:pPr>
      <w:r w:rsidRPr="00296F1C">
        <w:rPr>
          <w:rFonts w:cs="Arial"/>
        </w:rPr>
        <w:t xml:space="preserve">Over the year Your Pension Service has achieved an overall performance level of 96% against the standards and targets set out within a Service Level Agreement.   </w:t>
      </w:r>
    </w:p>
    <w:p w:rsidR="005A3E2A" w:rsidRPr="00296F1C" w:rsidRDefault="005A3E2A" w:rsidP="005A3E2A">
      <w:pPr>
        <w:spacing w:after="0"/>
        <w:jc w:val="left"/>
        <w:rPr>
          <w:rFonts w:eastAsia="Cambria" w:cs="Arial"/>
          <w:lang w:eastAsia="en-GB"/>
        </w:rPr>
      </w:pP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Cambria" w:cs="Arial"/>
          <w:color w:val="auto"/>
          <w:lang w:eastAsia="en-GB"/>
        </w:rPr>
        <w:t>During the year to 31 March 2018, 27,433 individual calculations/enquiries were completed, of which 26,337 met the performance standard; an overall performance of 96% was achieved.</w:t>
      </w:r>
    </w:p>
    <w:p w:rsidR="005A3E2A" w:rsidRPr="00296F1C" w:rsidRDefault="005A3E2A" w:rsidP="005A3E2A">
      <w:pPr>
        <w:autoSpaceDE/>
        <w:autoSpaceDN/>
        <w:adjustRightInd/>
        <w:spacing w:after="0"/>
        <w:jc w:val="left"/>
        <w:rPr>
          <w:rFonts w:eastAsia="Times New Roman" w:cs="Arial"/>
          <w:b/>
          <w:color w:val="auto"/>
          <w:highlight w:val="yellow"/>
          <w:lang w:eastAsia="en-GB"/>
        </w:rPr>
      </w:pPr>
    </w:p>
    <w:p w:rsidR="005A3E2A" w:rsidRPr="00296F1C" w:rsidRDefault="005A3E2A" w:rsidP="005A3E2A">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Membership and employers</w:t>
      </w: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The Scheme is administered on behalf of over 400 organisations including local authorities, further and higher education colleges, voluntary and charitable organisations and private contractors undertaking a local authority function following outsourcing to the private sector.  </w:t>
      </w:r>
    </w:p>
    <w:p w:rsidR="005A3E2A" w:rsidRPr="00296F1C" w:rsidRDefault="005A3E2A" w:rsidP="005A3E2A">
      <w:pPr>
        <w:autoSpaceDE/>
        <w:autoSpaceDN/>
        <w:adjustRightInd/>
        <w:spacing w:after="0"/>
        <w:jc w:val="left"/>
        <w:rPr>
          <w:rFonts w:eastAsia="Times New Roman" w:cs="Arial"/>
          <w:color w:val="auto"/>
          <w:highlight w:val="yellow"/>
          <w:lang w:eastAsia="en-GB"/>
        </w:rPr>
      </w:pPr>
    </w:p>
    <w:p w:rsidR="005A3E2A" w:rsidRPr="00296F1C" w:rsidRDefault="005A3E2A" w:rsidP="005A3E2A">
      <w:pPr>
        <w:spacing w:after="0" w:line="240" w:lineRule="atLeast"/>
        <w:jc w:val="left"/>
        <w:rPr>
          <w:rFonts w:eastAsiaTheme="minorHAnsi" w:cs="Arial"/>
        </w:rPr>
      </w:pPr>
      <w:r w:rsidRPr="00296F1C">
        <w:rPr>
          <w:rFonts w:eastAsiaTheme="minorHAnsi" w:cs="Arial"/>
        </w:rPr>
        <w:t xml:space="preserve">The Local Government Pension Scheme is open to 2 main types of employers, </w:t>
      </w:r>
    </w:p>
    <w:p w:rsidR="005A3E2A" w:rsidRDefault="005A3E2A" w:rsidP="005A3E2A">
      <w:pPr>
        <w:autoSpaceDE/>
        <w:autoSpaceDN/>
        <w:adjustRightInd/>
        <w:spacing w:after="0"/>
        <w:jc w:val="left"/>
        <w:rPr>
          <w:rFonts w:cs="Arial"/>
        </w:rPr>
      </w:pPr>
      <w:r w:rsidRPr="00296F1C">
        <w:rPr>
          <w:rFonts w:cs="Arial"/>
        </w:rPr>
        <w:t xml:space="preserve">“Scheduled Bodies and Admitted Bodies”. </w:t>
      </w:r>
    </w:p>
    <w:p w:rsidR="005A3E2A" w:rsidRDefault="005A3E2A" w:rsidP="005A3E2A">
      <w:pPr>
        <w:autoSpaceDE/>
        <w:autoSpaceDN/>
        <w:adjustRightInd/>
        <w:spacing w:after="0"/>
        <w:jc w:val="left"/>
        <w:rPr>
          <w:rFonts w:cs="Arial"/>
        </w:rPr>
      </w:pPr>
    </w:p>
    <w:p w:rsidR="005A3E2A" w:rsidRPr="00296F1C" w:rsidRDefault="005A3E2A" w:rsidP="005A3E2A">
      <w:pPr>
        <w:autoSpaceDE/>
        <w:autoSpaceDN/>
        <w:adjustRightInd/>
        <w:spacing w:after="0"/>
        <w:jc w:val="left"/>
        <w:rPr>
          <w:rFonts w:cs="Arial"/>
        </w:rPr>
      </w:pPr>
      <w:r w:rsidRPr="00296F1C">
        <w:rPr>
          <w:rFonts w:cs="Arial"/>
        </w:rPr>
        <w:t>Scheduled Bodies are listed within the LGPS regulations and if they meet criter</w:t>
      </w:r>
      <w:r>
        <w:rPr>
          <w:rFonts w:cs="Arial"/>
        </w:rPr>
        <w:t>ia are eligible to participate.  A</w:t>
      </w:r>
      <w:r w:rsidRPr="00296F1C">
        <w:rPr>
          <w:rFonts w:cs="Arial"/>
        </w:rPr>
        <w:t>dmitted Bodies participate through a written contractual agreement and the majority of cases are established when outsourcing a service or function, where the new contractor wishes to provide continued LGPS membership.</w:t>
      </w:r>
    </w:p>
    <w:p w:rsidR="005A3E2A" w:rsidRPr="00296F1C" w:rsidRDefault="005A3E2A" w:rsidP="005A3E2A">
      <w:pPr>
        <w:autoSpaceDE/>
        <w:autoSpaceDN/>
        <w:adjustRightInd/>
        <w:spacing w:after="0"/>
        <w:jc w:val="left"/>
        <w:rPr>
          <w:rFonts w:eastAsia="Times New Roman" w:cs="Arial"/>
          <w:color w:val="auto"/>
          <w:highlight w:val="yellow"/>
          <w:lang w:eastAsia="en-GB"/>
        </w:rPr>
      </w:pPr>
      <w:r w:rsidRPr="00296F1C">
        <w:rPr>
          <w:rFonts w:cs="Arial"/>
          <w:highlight w:val="yellow"/>
        </w:rPr>
        <w:t xml:space="preserve"> </w:t>
      </w: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Membership of the LGPS is automatic although employees are able to opt-out of membership if they choose. However, employees are re-enrolled every 3 years under the government's auto-enrolment regulations.</w:t>
      </w:r>
    </w:p>
    <w:p w:rsidR="005A3E2A" w:rsidRPr="00296F1C" w:rsidRDefault="005A3E2A" w:rsidP="005A3E2A">
      <w:pPr>
        <w:autoSpaceDE/>
        <w:autoSpaceDN/>
        <w:adjustRightInd/>
        <w:spacing w:after="0"/>
        <w:jc w:val="left"/>
        <w:rPr>
          <w:rFonts w:eastAsia="Times New Roman" w:cs="Arial"/>
          <w:b/>
          <w:color w:val="auto"/>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5"/>
        <w:gridCol w:w="3220"/>
      </w:tblGrid>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r w:rsidRPr="00296F1C">
              <w:rPr>
                <w:rFonts w:eastAsia="Times New Roman" w:cs="Arial"/>
                <w:b/>
                <w:color w:val="auto"/>
              </w:rPr>
              <w:t>Fund membership</w:t>
            </w:r>
          </w:p>
        </w:tc>
        <w:tc>
          <w:tcPr>
            <w:tcW w:w="2835" w:type="dxa"/>
          </w:tcPr>
          <w:p w:rsidR="005A3E2A" w:rsidRPr="00296F1C" w:rsidRDefault="005A3E2A" w:rsidP="005A3E2A">
            <w:pPr>
              <w:autoSpaceDE/>
              <w:autoSpaceDN/>
              <w:adjustRightInd/>
              <w:spacing w:after="0"/>
              <w:jc w:val="right"/>
              <w:rPr>
                <w:rFonts w:eastAsia="Times New Roman" w:cs="Arial"/>
                <w:b/>
                <w:color w:val="auto"/>
              </w:rPr>
            </w:pPr>
            <w:r w:rsidRPr="00296F1C">
              <w:rPr>
                <w:rFonts w:eastAsia="Times New Roman" w:cs="Arial"/>
                <w:b/>
                <w:color w:val="auto"/>
              </w:rPr>
              <w:t>31 March 2017</w:t>
            </w:r>
          </w:p>
        </w:tc>
        <w:tc>
          <w:tcPr>
            <w:tcW w:w="3220" w:type="dxa"/>
          </w:tcPr>
          <w:p w:rsidR="005A3E2A" w:rsidRPr="00296F1C" w:rsidRDefault="005A3E2A" w:rsidP="005A3E2A">
            <w:pPr>
              <w:autoSpaceDE/>
              <w:autoSpaceDN/>
              <w:adjustRightInd/>
              <w:spacing w:after="0"/>
              <w:jc w:val="right"/>
              <w:rPr>
                <w:rFonts w:eastAsia="Times New Roman" w:cs="Arial"/>
                <w:b/>
                <w:color w:val="auto"/>
              </w:rPr>
            </w:pPr>
            <w:r w:rsidRPr="00296F1C">
              <w:rPr>
                <w:rFonts w:eastAsia="Times New Roman" w:cs="Arial"/>
                <w:b/>
                <w:color w:val="auto"/>
              </w:rPr>
              <w:t>31 March 2018</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r w:rsidRPr="00296F1C">
              <w:rPr>
                <w:rFonts w:eastAsia="Times New Roman" w:cs="Arial"/>
                <w:b/>
                <w:color w:val="auto"/>
              </w:rPr>
              <w:t>Active scheme members</w:t>
            </w:r>
          </w:p>
        </w:tc>
        <w:tc>
          <w:tcPr>
            <w:tcW w:w="2835" w:type="dxa"/>
          </w:tcPr>
          <w:p w:rsidR="005A3E2A" w:rsidRPr="00296F1C" w:rsidRDefault="005A3E2A" w:rsidP="005A3E2A">
            <w:pPr>
              <w:autoSpaceDE/>
              <w:autoSpaceDN/>
              <w:adjustRightInd/>
              <w:spacing w:after="0"/>
              <w:jc w:val="right"/>
              <w:rPr>
                <w:rFonts w:eastAsia="Times New Roman" w:cs="Arial"/>
                <w:b/>
                <w:color w:val="auto"/>
              </w:rPr>
            </w:pPr>
          </w:p>
        </w:tc>
        <w:tc>
          <w:tcPr>
            <w:tcW w:w="3220" w:type="dxa"/>
          </w:tcPr>
          <w:p w:rsidR="005A3E2A" w:rsidRPr="00296F1C" w:rsidRDefault="005A3E2A" w:rsidP="005A3E2A">
            <w:pPr>
              <w:autoSpaceDE/>
              <w:autoSpaceDN/>
              <w:adjustRightInd/>
              <w:spacing w:after="0"/>
              <w:jc w:val="right"/>
              <w:rPr>
                <w:rFonts w:eastAsia="Times New Roman" w:cs="Arial"/>
                <w:b/>
                <w:color w:val="auto"/>
              </w:rPr>
            </w:pP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color w:val="auto"/>
              </w:rPr>
            </w:pPr>
            <w:r w:rsidRPr="00296F1C">
              <w:rPr>
                <w:rFonts w:eastAsia="Times New Roman" w:cs="Arial"/>
                <w:color w:val="auto"/>
              </w:rPr>
              <w:t>Lancashire County Council</w:t>
            </w:r>
          </w:p>
        </w:tc>
        <w:tc>
          <w:tcPr>
            <w:tcW w:w="2835"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26</w:t>
            </w:r>
            <w:r>
              <w:rPr>
                <w:rFonts w:eastAsia="Times New Roman" w:cs="Arial"/>
                <w:color w:val="auto"/>
              </w:rPr>
              <w:t>,</w:t>
            </w:r>
            <w:r w:rsidRPr="00296F1C">
              <w:rPr>
                <w:rFonts w:eastAsia="Times New Roman" w:cs="Arial"/>
                <w:color w:val="auto"/>
              </w:rPr>
              <w:t>416</w:t>
            </w:r>
          </w:p>
        </w:tc>
        <w:tc>
          <w:tcPr>
            <w:tcW w:w="3220"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27</w:t>
            </w:r>
            <w:r>
              <w:rPr>
                <w:rFonts w:eastAsia="Times New Roman" w:cs="Arial"/>
                <w:color w:val="auto"/>
              </w:rPr>
              <w:t>,</w:t>
            </w:r>
            <w:r w:rsidRPr="00296F1C">
              <w:rPr>
                <w:rFonts w:eastAsia="Times New Roman" w:cs="Arial"/>
                <w:color w:val="auto"/>
              </w:rPr>
              <w:t>059</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color w:val="auto"/>
              </w:rPr>
            </w:pPr>
            <w:r w:rsidRPr="00296F1C">
              <w:rPr>
                <w:rFonts w:eastAsia="Times New Roman" w:cs="Arial"/>
                <w:color w:val="auto"/>
              </w:rPr>
              <w:t>Other employers</w:t>
            </w:r>
          </w:p>
        </w:tc>
        <w:tc>
          <w:tcPr>
            <w:tcW w:w="2835"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29</w:t>
            </w:r>
            <w:r>
              <w:rPr>
                <w:rFonts w:eastAsia="Times New Roman" w:cs="Arial"/>
                <w:color w:val="auto"/>
              </w:rPr>
              <w:t>,</w:t>
            </w:r>
            <w:r w:rsidRPr="00296F1C">
              <w:rPr>
                <w:rFonts w:eastAsia="Times New Roman" w:cs="Arial"/>
                <w:color w:val="auto"/>
              </w:rPr>
              <w:t>499</w:t>
            </w:r>
          </w:p>
        </w:tc>
        <w:tc>
          <w:tcPr>
            <w:tcW w:w="3220"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29</w:t>
            </w:r>
            <w:r>
              <w:rPr>
                <w:rFonts w:eastAsia="Times New Roman" w:cs="Arial"/>
                <w:color w:val="auto"/>
              </w:rPr>
              <w:t>,</w:t>
            </w:r>
            <w:r w:rsidRPr="00296F1C">
              <w:rPr>
                <w:rFonts w:eastAsia="Times New Roman" w:cs="Arial"/>
                <w:color w:val="auto"/>
              </w:rPr>
              <w:t>817</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color w:val="auto"/>
              </w:rPr>
            </w:pPr>
            <w:r w:rsidRPr="00296F1C">
              <w:rPr>
                <w:rFonts w:eastAsia="Times New Roman" w:cs="Arial"/>
                <w:color w:val="auto"/>
              </w:rPr>
              <w:t>Total</w:t>
            </w:r>
          </w:p>
        </w:tc>
        <w:tc>
          <w:tcPr>
            <w:tcW w:w="2835" w:type="dxa"/>
          </w:tcPr>
          <w:p w:rsidR="005A3E2A" w:rsidRPr="005A3E2A" w:rsidRDefault="005A3E2A" w:rsidP="005A3E2A">
            <w:pPr>
              <w:autoSpaceDE/>
              <w:autoSpaceDN/>
              <w:adjustRightInd/>
              <w:spacing w:after="0"/>
              <w:jc w:val="right"/>
              <w:rPr>
                <w:rFonts w:eastAsia="Times New Roman" w:cs="Arial"/>
                <w:b/>
                <w:color w:val="auto"/>
              </w:rPr>
            </w:pPr>
            <w:r w:rsidRPr="005A3E2A">
              <w:rPr>
                <w:rFonts w:eastAsia="Times New Roman" w:cs="Arial"/>
                <w:b/>
                <w:color w:val="auto"/>
              </w:rPr>
              <w:t>55,915</w:t>
            </w:r>
          </w:p>
        </w:tc>
        <w:tc>
          <w:tcPr>
            <w:tcW w:w="3220" w:type="dxa"/>
          </w:tcPr>
          <w:p w:rsidR="005A3E2A" w:rsidRPr="005A3E2A" w:rsidRDefault="005A3E2A" w:rsidP="005A3E2A">
            <w:pPr>
              <w:autoSpaceDE/>
              <w:autoSpaceDN/>
              <w:adjustRightInd/>
              <w:spacing w:after="0"/>
              <w:jc w:val="right"/>
              <w:rPr>
                <w:rFonts w:eastAsia="Times New Roman" w:cs="Arial"/>
                <w:b/>
                <w:color w:val="auto"/>
              </w:rPr>
            </w:pPr>
            <w:r w:rsidRPr="005A3E2A">
              <w:rPr>
                <w:rFonts w:eastAsia="Times New Roman" w:cs="Arial"/>
                <w:b/>
                <w:color w:val="auto"/>
              </w:rPr>
              <w:t>56,874</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p>
        </w:tc>
        <w:tc>
          <w:tcPr>
            <w:tcW w:w="2835" w:type="dxa"/>
          </w:tcPr>
          <w:p w:rsidR="005A3E2A" w:rsidRPr="00296F1C" w:rsidRDefault="005A3E2A" w:rsidP="005A3E2A">
            <w:pPr>
              <w:autoSpaceDE/>
              <w:autoSpaceDN/>
              <w:adjustRightInd/>
              <w:spacing w:after="0"/>
              <w:jc w:val="right"/>
              <w:rPr>
                <w:rFonts w:eastAsia="Times New Roman" w:cs="Arial"/>
                <w:color w:val="auto"/>
              </w:rPr>
            </w:pPr>
          </w:p>
        </w:tc>
        <w:tc>
          <w:tcPr>
            <w:tcW w:w="3220" w:type="dxa"/>
          </w:tcPr>
          <w:p w:rsidR="005A3E2A" w:rsidRPr="00296F1C" w:rsidRDefault="005A3E2A" w:rsidP="005A3E2A">
            <w:pPr>
              <w:autoSpaceDE/>
              <w:autoSpaceDN/>
              <w:adjustRightInd/>
              <w:spacing w:after="0"/>
              <w:jc w:val="right"/>
              <w:rPr>
                <w:rFonts w:eastAsia="Times New Roman" w:cs="Arial"/>
                <w:color w:val="auto"/>
              </w:rPr>
            </w:pP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r w:rsidRPr="00296F1C">
              <w:rPr>
                <w:rFonts w:eastAsia="Times New Roman" w:cs="Arial"/>
                <w:b/>
                <w:color w:val="auto"/>
              </w:rPr>
              <w:t>Pensioners</w:t>
            </w:r>
          </w:p>
        </w:tc>
        <w:tc>
          <w:tcPr>
            <w:tcW w:w="2835" w:type="dxa"/>
          </w:tcPr>
          <w:p w:rsidR="005A3E2A" w:rsidRPr="00296F1C" w:rsidRDefault="005A3E2A" w:rsidP="005A3E2A">
            <w:pPr>
              <w:autoSpaceDE/>
              <w:autoSpaceDN/>
              <w:adjustRightInd/>
              <w:spacing w:after="0"/>
              <w:jc w:val="right"/>
              <w:rPr>
                <w:rFonts w:eastAsia="Times New Roman" w:cs="Arial"/>
                <w:color w:val="auto"/>
              </w:rPr>
            </w:pPr>
          </w:p>
        </w:tc>
        <w:tc>
          <w:tcPr>
            <w:tcW w:w="3220" w:type="dxa"/>
          </w:tcPr>
          <w:p w:rsidR="005A3E2A" w:rsidRPr="00296F1C" w:rsidRDefault="005A3E2A" w:rsidP="005A3E2A">
            <w:pPr>
              <w:autoSpaceDE/>
              <w:autoSpaceDN/>
              <w:adjustRightInd/>
              <w:spacing w:after="0"/>
              <w:jc w:val="right"/>
              <w:rPr>
                <w:rFonts w:eastAsia="Times New Roman" w:cs="Arial"/>
                <w:color w:val="auto"/>
              </w:rPr>
            </w:pP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r w:rsidRPr="00296F1C">
              <w:rPr>
                <w:rFonts w:eastAsia="Times New Roman" w:cs="Arial"/>
                <w:color w:val="auto"/>
              </w:rPr>
              <w:t>Lancashire County Council</w:t>
            </w:r>
          </w:p>
        </w:tc>
        <w:tc>
          <w:tcPr>
            <w:tcW w:w="2835"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23</w:t>
            </w:r>
            <w:r>
              <w:rPr>
                <w:rFonts w:eastAsia="Times New Roman" w:cs="Arial"/>
                <w:color w:val="auto"/>
              </w:rPr>
              <w:t>,</w:t>
            </w:r>
            <w:r w:rsidRPr="00296F1C">
              <w:rPr>
                <w:rFonts w:eastAsia="Times New Roman" w:cs="Arial"/>
                <w:color w:val="auto"/>
              </w:rPr>
              <w:t>141</w:t>
            </w:r>
          </w:p>
        </w:tc>
        <w:tc>
          <w:tcPr>
            <w:tcW w:w="3220"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23</w:t>
            </w:r>
            <w:r>
              <w:rPr>
                <w:rFonts w:eastAsia="Times New Roman" w:cs="Arial"/>
                <w:color w:val="auto"/>
              </w:rPr>
              <w:t>,</w:t>
            </w:r>
            <w:r w:rsidRPr="00296F1C">
              <w:rPr>
                <w:rFonts w:eastAsia="Times New Roman" w:cs="Arial"/>
                <w:color w:val="auto"/>
              </w:rPr>
              <w:t>722</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r w:rsidRPr="00296F1C">
              <w:rPr>
                <w:rFonts w:eastAsia="Times New Roman" w:cs="Arial"/>
                <w:color w:val="auto"/>
              </w:rPr>
              <w:t>Other employers</w:t>
            </w:r>
          </w:p>
        </w:tc>
        <w:tc>
          <w:tcPr>
            <w:tcW w:w="2835"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23</w:t>
            </w:r>
            <w:r>
              <w:rPr>
                <w:rFonts w:eastAsia="Times New Roman" w:cs="Arial"/>
                <w:color w:val="auto"/>
              </w:rPr>
              <w:t>,</w:t>
            </w:r>
            <w:r w:rsidRPr="00296F1C">
              <w:rPr>
                <w:rFonts w:eastAsia="Times New Roman" w:cs="Arial"/>
                <w:color w:val="auto"/>
              </w:rPr>
              <w:t>012</w:t>
            </w:r>
          </w:p>
        </w:tc>
        <w:tc>
          <w:tcPr>
            <w:tcW w:w="3220"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23</w:t>
            </w:r>
            <w:r>
              <w:rPr>
                <w:rFonts w:eastAsia="Times New Roman" w:cs="Arial"/>
                <w:color w:val="auto"/>
              </w:rPr>
              <w:t>,</w:t>
            </w:r>
            <w:r w:rsidRPr="00296F1C">
              <w:rPr>
                <w:rFonts w:eastAsia="Times New Roman" w:cs="Arial"/>
                <w:color w:val="auto"/>
              </w:rPr>
              <w:t>723</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r w:rsidRPr="00296F1C">
              <w:rPr>
                <w:rFonts w:eastAsia="Times New Roman" w:cs="Arial"/>
                <w:color w:val="auto"/>
              </w:rPr>
              <w:t>Total</w:t>
            </w:r>
          </w:p>
        </w:tc>
        <w:tc>
          <w:tcPr>
            <w:tcW w:w="2835" w:type="dxa"/>
          </w:tcPr>
          <w:p w:rsidR="005A3E2A" w:rsidRPr="005A3E2A" w:rsidRDefault="005A3E2A" w:rsidP="005A3E2A">
            <w:pPr>
              <w:autoSpaceDE/>
              <w:autoSpaceDN/>
              <w:adjustRightInd/>
              <w:spacing w:after="0"/>
              <w:jc w:val="right"/>
              <w:rPr>
                <w:rFonts w:eastAsia="Times New Roman" w:cs="Arial"/>
                <w:b/>
                <w:color w:val="auto"/>
              </w:rPr>
            </w:pPr>
            <w:r w:rsidRPr="005A3E2A">
              <w:rPr>
                <w:rFonts w:eastAsia="Times New Roman" w:cs="Arial"/>
                <w:b/>
                <w:color w:val="auto"/>
              </w:rPr>
              <w:t>46153</w:t>
            </w:r>
          </w:p>
        </w:tc>
        <w:tc>
          <w:tcPr>
            <w:tcW w:w="3220" w:type="dxa"/>
          </w:tcPr>
          <w:p w:rsidR="005A3E2A" w:rsidRPr="005A3E2A" w:rsidRDefault="005A3E2A" w:rsidP="005A3E2A">
            <w:pPr>
              <w:autoSpaceDE/>
              <w:autoSpaceDN/>
              <w:adjustRightInd/>
              <w:spacing w:after="0"/>
              <w:jc w:val="right"/>
              <w:rPr>
                <w:rFonts w:eastAsia="Times New Roman" w:cs="Arial"/>
                <w:b/>
                <w:color w:val="auto"/>
              </w:rPr>
            </w:pPr>
            <w:r w:rsidRPr="005A3E2A">
              <w:rPr>
                <w:rFonts w:eastAsia="Times New Roman" w:cs="Arial"/>
                <w:b/>
                <w:color w:val="auto"/>
              </w:rPr>
              <w:t>47445</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p>
        </w:tc>
        <w:tc>
          <w:tcPr>
            <w:tcW w:w="2835" w:type="dxa"/>
          </w:tcPr>
          <w:p w:rsidR="005A3E2A" w:rsidRPr="00296F1C" w:rsidRDefault="005A3E2A" w:rsidP="005A3E2A">
            <w:pPr>
              <w:autoSpaceDE/>
              <w:autoSpaceDN/>
              <w:adjustRightInd/>
              <w:spacing w:after="0"/>
              <w:jc w:val="left"/>
              <w:rPr>
                <w:rFonts w:eastAsia="Times New Roman" w:cs="Arial"/>
                <w:b/>
                <w:color w:val="auto"/>
              </w:rPr>
            </w:pPr>
          </w:p>
        </w:tc>
        <w:tc>
          <w:tcPr>
            <w:tcW w:w="3220" w:type="dxa"/>
          </w:tcPr>
          <w:p w:rsidR="005A3E2A" w:rsidRPr="00296F1C" w:rsidRDefault="005A3E2A" w:rsidP="005A3E2A">
            <w:pPr>
              <w:autoSpaceDE/>
              <w:autoSpaceDN/>
              <w:adjustRightInd/>
              <w:spacing w:after="0"/>
              <w:jc w:val="left"/>
              <w:rPr>
                <w:rFonts w:eastAsia="Times New Roman" w:cs="Arial"/>
                <w:b/>
                <w:color w:val="auto"/>
              </w:rPr>
            </w:pP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r w:rsidRPr="00296F1C">
              <w:rPr>
                <w:rFonts w:eastAsia="Times New Roman" w:cs="Arial"/>
                <w:b/>
                <w:color w:val="auto"/>
              </w:rPr>
              <w:t>Deferred members</w:t>
            </w:r>
          </w:p>
        </w:tc>
        <w:tc>
          <w:tcPr>
            <w:tcW w:w="2835" w:type="dxa"/>
          </w:tcPr>
          <w:p w:rsidR="005A3E2A" w:rsidRPr="00296F1C" w:rsidRDefault="005A3E2A" w:rsidP="005A3E2A">
            <w:pPr>
              <w:autoSpaceDE/>
              <w:autoSpaceDN/>
              <w:adjustRightInd/>
              <w:spacing w:after="0"/>
              <w:jc w:val="left"/>
              <w:rPr>
                <w:rFonts w:eastAsia="Times New Roman" w:cs="Arial"/>
                <w:b/>
                <w:color w:val="auto"/>
              </w:rPr>
            </w:pPr>
          </w:p>
        </w:tc>
        <w:tc>
          <w:tcPr>
            <w:tcW w:w="3220" w:type="dxa"/>
          </w:tcPr>
          <w:p w:rsidR="005A3E2A" w:rsidRPr="00296F1C" w:rsidRDefault="005A3E2A" w:rsidP="005A3E2A">
            <w:pPr>
              <w:autoSpaceDE/>
              <w:autoSpaceDN/>
              <w:adjustRightInd/>
              <w:spacing w:after="0"/>
              <w:jc w:val="left"/>
              <w:rPr>
                <w:rFonts w:eastAsia="Times New Roman" w:cs="Arial"/>
                <w:b/>
                <w:color w:val="auto"/>
              </w:rPr>
            </w:pP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color w:val="auto"/>
              </w:rPr>
            </w:pPr>
            <w:r w:rsidRPr="00296F1C">
              <w:rPr>
                <w:rFonts w:eastAsia="Times New Roman" w:cs="Arial"/>
                <w:color w:val="auto"/>
              </w:rPr>
              <w:t>Lancashire County Council</w:t>
            </w:r>
          </w:p>
        </w:tc>
        <w:tc>
          <w:tcPr>
            <w:tcW w:w="2835"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34</w:t>
            </w:r>
            <w:r>
              <w:rPr>
                <w:rFonts w:eastAsia="Times New Roman" w:cs="Arial"/>
                <w:color w:val="auto"/>
              </w:rPr>
              <w:t>,</w:t>
            </w:r>
            <w:r w:rsidRPr="00296F1C">
              <w:rPr>
                <w:rFonts w:eastAsia="Times New Roman" w:cs="Arial"/>
                <w:color w:val="auto"/>
              </w:rPr>
              <w:t>668</w:t>
            </w:r>
          </w:p>
        </w:tc>
        <w:tc>
          <w:tcPr>
            <w:tcW w:w="3220"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35</w:t>
            </w:r>
            <w:r>
              <w:rPr>
                <w:rFonts w:eastAsia="Times New Roman" w:cs="Arial"/>
                <w:color w:val="auto"/>
              </w:rPr>
              <w:t>,</w:t>
            </w:r>
            <w:r w:rsidRPr="00296F1C">
              <w:rPr>
                <w:rFonts w:eastAsia="Times New Roman" w:cs="Arial"/>
                <w:color w:val="auto"/>
              </w:rPr>
              <w:t>477</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color w:val="auto"/>
              </w:rPr>
            </w:pPr>
            <w:r w:rsidRPr="00296F1C">
              <w:rPr>
                <w:rFonts w:eastAsia="Times New Roman" w:cs="Arial"/>
                <w:color w:val="auto"/>
              </w:rPr>
              <w:t>Other employers</w:t>
            </w:r>
          </w:p>
        </w:tc>
        <w:tc>
          <w:tcPr>
            <w:tcW w:w="2835"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30</w:t>
            </w:r>
            <w:r>
              <w:rPr>
                <w:rFonts w:eastAsia="Times New Roman" w:cs="Arial"/>
                <w:color w:val="auto"/>
              </w:rPr>
              <w:t>,</w:t>
            </w:r>
            <w:r w:rsidRPr="00296F1C">
              <w:rPr>
                <w:rFonts w:eastAsia="Times New Roman" w:cs="Arial"/>
                <w:color w:val="auto"/>
              </w:rPr>
              <w:t>573</w:t>
            </w:r>
          </w:p>
        </w:tc>
        <w:tc>
          <w:tcPr>
            <w:tcW w:w="3220"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32</w:t>
            </w:r>
            <w:r>
              <w:rPr>
                <w:rFonts w:eastAsia="Times New Roman" w:cs="Arial"/>
                <w:color w:val="auto"/>
              </w:rPr>
              <w:t>,</w:t>
            </w:r>
            <w:r w:rsidRPr="00296F1C">
              <w:rPr>
                <w:rFonts w:eastAsia="Times New Roman" w:cs="Arial"/>
                <w:color w:val="auto"/>
              </w:rPr>
              <w:t>276</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color w:val="auto"/>
              </w:rPr>
            </w:pPr>
            <w:r w:rsidRPr="00296F1C">
              <w:rPr>
                <w:rFonts w:eastAsia="Times New Roman" w:cs="Arial"/>
                <w:color w:val="auto"/>
              </w:rPr>
              <w:t>Total</w:t>
            </w:r>
          </w:p>
        </w:tc>
        <w:tc>
          <w:tcPr>
            <w:tcW w:w="2835"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65</w:t>
            </w:r>
            <w:r>
              <w:rPr>
                <w:rFonts w:eastAsia="Times New Roman" w:cs="Arial"/>
                <w:color w:val="auto"/>
              </w:rPr>
              <w:t>,</w:t>
            </w:r>
            <w:r w:rsidRPr="00296F1C">
              <w:rPr>
                <w:rFonts w:eastAsia="Times New Roman" w:cs="Arial"/>
                <w:color w:val="auto"/>
              </w:rPr>
              <w:t>241</w:t>
            </w:r>
          </w:p>
        </w:tc>
        <w:tc>
          <w:tcPr>
            <w:tcW w:w="3220" w:type="dxa"/>
          </w:tcPr>
          <w:p w:rsidR="005A3E2A" w:rsidRPr="00296F1C" w:rsidRDefault="005A3E2A" w:rsidP="005A3E2A">
            <w:pPr>
              <w:autoSpaceDE/>
              <w:autoSpaceDN/>
              <w:adjustRightInd/>
              <w:spacing w:after="0"/>
              <w:jc w:val="right"/>
              <w:rPr>
                <w:rFonts w:eastAsia="Times New Roman" w:cs="Arial"/>
                <w:color w:val="auto"/>
              </w:rPr>
            </w:pPr>
            <w:r w:rsidRPr="00296F1C">
              <w:rPr>
                <w:rFonts w:eastAsia="Times New Roman" w:cs="Arial"/>
                <w:color w:val="auto"/>
              </w:rPr>
              <w:t>67</w:t>
            </w:r>
            <w:r>
              <w:rPr>
                <w:rFonts w:eastAsia="Times New Roman" w:cs="Arial"/>
                <w:color w:val="auto"/>
              </w:rPr>
              <w:t>,</w:t>
            </w:r>
            <w:r w:rsidRPr="00296F1C">
              <w:rPr>
                <w:rFonts w:eastAsia="Times New Roman" w:cs="Arial"/>
                <w:color w:val="auto"/>
              </w:rPr>
              <w:t>753</w:t>
            </w: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color w:val="auto"/>
              </w:rPr>
            </w:pPr>
          </w:p>
        </w:tc>
        <w:tc>
          <w:tcPr>
            <w:tcW w:w="2835" w:type="dxa"/>
          </w:tcPr>
          <w:p w:rsidR="005A3E2A" w:rsidRPr="00296F1C" w:rsidRDefault="005A3E2A" w:rsidP="005A3E2A">
            <w:pPr>
              <w:autoSpaceDE/>
              <w:autoSpaceDN/>
              <w:adjustRightInd/>
              <w:spacing w:after="0"/>
              <w:jc w:val="left"/>
              <w:rPr>
                <w:rFonts w:eastAsia="Times New Roman" w:cs="Arial"/>
                <w:b/>
                <w:color w:val="auto"/>
              </w:rPr>
            </w:pPr>
          </w:p>
        </w:tc>
        <w:tc>
          <w:tcPr>
            <w:tcW w:w="3220" w:type="dxa"/>
          </w:tcPr>
          <w:p w:rsidR="005A3E2A" w:rsidRPr="00296F1C" w:rsidRDefault="005A3E2A" w:rsidP="005A3E2A">
            <w:pPr>
              <w:autoSpaceDE/>
              <w:autoSpaceDN/>
              <w:adjustRightInd/>
              <w:spacing w:after="0"/>
              <w:jc w:val="left"/>
              <w:rPr>
                <w:rFonts w:eastAsia="Times New Roman" w:cs="Arial"/>
                <w:b/>
                <w:color w:val="auto"/>
              </w:rPr>
            </w:pPr>
          </w:p>
        </w:tc>
      </w:tr>
      <w:tr w:rsidR="005A3E2A" w:rsidRPr="00296F1C" w:rsidTr="005A3E2A">
        <w:tc>
          <w:tcPr>
            <w:tcW w:w="4395" w:type="dxa"/>
          </w:tcPr>
          <w:p w:rsidR="005A3E2A" w:rsidRPr="00296F1C" w:rsidRDefault="005A3E2A" w:rsidP="005A3E2A">
            <w:pPr>
              <w:autoSpaceDE/>
              <w:autoSpaceDN/>
              <w:adjustRightInd/>
              <w:spacing w:after="0"/>
              <w:jc w:val="left"/>
              <w:rPr>
                <w:rFonts w:eastAsia="Times New Roman" w:cs="Arial"/>
                <w:b/>
                <w:color w:val="auto"/>
              </w:rPr>
            </w:pPr>
            <w:r w:rsidRPr="00296F1C">
              <w:rPr>
                <w:rFonts w:eastAsia="Times New Roman" w:cs="Arial"/>
                <w:b/>
                <w:color w:val="auto"/>
              </w:rPr>
              <w:t>Total membership</w:t>
            </w:r>
          </w:p>
        </w:tc>
        <w:tc>
          <w:tcPr>
            <w:tcW w:w="2835" w:type="dxa"/>
          </w:tcPr>
          <w:p w:rsidR="005A3E2A" w:rsidRPr="00296F1C" w:rsidRDefault="005A3E2A" w:rsidP="005A3E2A">
            <w:pPr>
              <w:autoSpaceDE/>
              <w:autoSpaceDN/>
              <w:adjustRightInd/>
              <w:spacing w:after="0"/>
              <w:jc w:val="right"/>
              <w:rPr>
                <w:rFonts w:eastAsia="Times New Roman" w:cs="Arial"/>
                <w:b/>
                <w:color w:val="auto"/>
              </w:rPr>
            </w:pPr>
            <w:r w:rsidRPr="00296F1C">
              <w:rPr>
                <w:rFonts w:eastAsia="Times New Roman" w:cs="Arial"/>
                <w:b/>
                <w:color w:val="auto"/>
              </w:rPr>
              <w:t>167</w:t>
            </w:r>
            <w:r>
              <w:rPr>
                <w:rFonts w:eastAsia="Times New Roman" w:cs="Arial"/>
                <w:b/>
                <w:color w:val="auto"/>
              </w:rPr>
              <w:t>,</w:t>
            </w:r>
            <w:r w:rsidRPr="00296F1C">
              <w:rPr>
                <w:rFonts w:eastAsia="Times New Roman" w:cs="Arial"/>
                <w:b/>
                <w:color w:val="auto"/>
              </w:rPr>
              <w:t>309</w:t>
            </w:r>
          </w:p>
        </w:tc>
        <w:tc>
          <w:tcPr>
            <w:tcW w:w="3220" w:type="dxa"/>
          </w:tcPr>
          <w:p w:rsidR="005A3E2A" w:rsidRPr="00296F1C" w:rsidRDefault="005A3E2A" w:rsidP="005A3E2A">
            <w:pPr>
              <w:autoSpaceDE/>
              <w:autoSpaceDN/>
              <w:adjustRightInd/>
              <w:spacing w:after="0"/>
              <w:jc w:val="right"/>
              <w:rPr>
                <w:rFonts w:eastAsia="Times New Roman" w:cs="Arial"/>
                <w:b/>
                <w:color w:val="auto"/>
              </w:rPr>
            </w:pPr>
            <w:r w:rsidRPr="00296F1C">
              <w:rPr>
                <w:rFonts w:eastAsia="Times New Roman" w:cs="Arial"/>
                <w:b/>
                <w:color w:val="auto"/>
              </w:rPr>
              <w:t>172</w:t>
            </w:r>
            <w:r>
              <w:rPr>
                <w:rFonts w:eastAsia="Times New Roman" w:cs="Arial"/>
                <w:b/>
                <w:color w:val="auto"/>
              </w:rPr>
              <w:t>,</w:t>
            </w:r>
            <w:r w:rsidRPr="00296F1C">
              <w:rPr>
                <w:rFonts w:eastAsia="Times New Roman" w:cs="Arial"/>
                <w:b/>
                <w:color w:val="auto"/>
              </w:rPr>
              <w:t>074</w:t>
            </w:r>
          </w:p>
        </w:tc>
      </w:tr>
    </w:tbl>
    <w:p w:rsidR="005A3E2A" w:rsidRPr="00296F1C" w:rsidRDefault="005A3E2A" w:rsidP="005A3E2A">
      <w:pPr>
        <w:autoSpaceDE/>
        <w:autoSpaceDN/>
        <w:adjustRightInd/>
        <w:spacing w:after="0"/>
        <w:jc w:val="left"/>
        <w:rPr>
          <w:rFonts w:eastAsia="Times New Roman" w:cs="Arial"/>
          <w:color w:val="auto"/>
          <w:highlight w:val="yellow"/>
          <w:lang w:eastAsia="en-GB"/>
        </w:rPr>
      </w:pPr>
    </w:p>
    <w:p w:rsidR="005A3E2A" w:rsidRPr="00296F1C" w:rsidRDefault="005A3E2A" w:rsidP="005A3E2A">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Performance</w:t>
      </w: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The Pension Fund Committee receives regular reports on the administration of the Fund ensuring that best practice standards are satisfied and met and to satisfy itself and justify to all stakeholders, including employers that the Fund is being run on an efficient and effective basis.  </w:t>
      </w:r>
    </w:p>
    <w:p w:rsidR="005A3E2A" w:rsidRPr="00296F1C" w:rsidRDefault="005A3E2A" w:rsidP="005A3E2A">
      <w:pPr>
        <w:autoSpaceDE/>
        <w:autoSpaceDN/>
        <w:adjustRightInd/>
        <w:spacing w:after="0"/>
        <w:jc w:val="left"/>
        <w:rPr>
          <w:rFonts w:eastAsia="Times New Roman" w:cs="Arial"/>
          <w:color w:val="auto"/>
          <w:lang w:eastAsia="en-GB"/>
        </w:rPr>
      </w:pP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Specific service level standards and corresponding service level targets have been agreed between the Fund and the Local Pensions Partnership and an </w:t>
      </w:r>
      <w:hyperlink r:id="rId12" w:history="1">
        <w:r w:rsidRPr="00296F1C">
          <w:rPr>
            <w:rFonts w:eastAsia="Times New Roman" w:cs="Arial"/>
            <w:color w:val="0000FF"/>
            <w:u w:val="single"/>
            <w:lang w:eastAsia="en-GB"/>
          </w:rPr>
          <w:t>Annual Administration Report</w:t>
        </w:r>
      </w:hyperlink>
      <w:r w:rsidRPr="00296F1C">
        <w:rPr>
          <w:rFonts w:eastAsia="Times New Roman" w:cs="Arial"/>
          <w:color w:val="auto"/>
          <w:lang w:eastAsia="en-GB"/>
        </w:rPr>
        <w:t xml:space="preserve"> is presented to the Pension Fund Committee.  A copy of the report for the year to 31 March 2018 is included as Appendix 2 to this annual report.</w:t>
      </w:r>
    </w:p>
    <w:p w:rsidR="005A3E2A" w:rsidRPr="00296F1C" w:rsidRDefault="005A3E2A" w:rsidP="005A3E2A">
      <w:pPr>
        <w:autoSpaceDE/>
        <w:autoSpaceDN/>
        <w:adjustRightInd/>
        <w:spacing w:after="0"/>
        <w:jc w:val="left"/>
        <w:rPr>
          <w:rFonts w:eastAsia="Times New Roman" w:cs="Arial"/>
          <w:color w:val="auto"/>
          <w:highlight w:val="yellow"/>
          <w:lang w:eastAsia="en-GB"/>
        </w:rPr>
      </w:pP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lastRenderedPageBreak/>
        <w:t>Performance over the year to 31 March 2018 continues to exceed SLA targets and the key performance indicator;</w:t>
      </w:r>
    </w:p>
    <w:p w:rsidR="005A3E2A" w:rsidRPr="00296F1C" w:rsidRDefault="005A3E2A" w:rsidP="005A3E2A">
      <w:pPr>
        <w:autoSpaceDE/>
        <w:autoSpaceDN/>
        <w:adjustRightInd/>
        <w:spacing w:after="0"/>
        <w:jc w:val="left"/>
        <w:rPr>
          <w:rFonts w:eastAsia="Times New Roman" w:cs="Arial"/>
          <w:color w:val="auto"/>
          <w:lang w:eastAsia="en-GB"/>
        </w:rPr>
      </w:pPr>
    </w:p>
    <w:p w:rsidR="005A3E2A" w:rsidRPr="00296F1C" w:rsidRDefault="005A3E2A" w:rsidP="005A3E2A">
      <w:pPr>
        <w:autoSpaceDE/>
        <w:autoSpaceDN/>
        <w:adjustRightInd/>
        <w:spacing w:after="0"/>
        <w:jc w:val="center"/>
        <w:rPr>
          <w:rFonts w:eastAsia="Times New Roman" w:cs="Arial"/>
          <w:b/>
          <w:i/>
          <w:color w:val="auto"/>
          <w:lang w:eastAsia="en-GB"/>
        </w:rPr>
      </w:pPr>
      <w:r w:rsidRPr="00296F1C">
        <w:rPr>
          <w:rFonts w:eastAsia="Times New Roman" w:cs="Arial"/>
          <w:b/>
          <w:i/>
          <w:color w:val="auto"/>
          <w:lang w:eastAsia="en-GB"/>
        </w:rPr>
        <w:t>'to calculate and pay all retirement benefits within 10 working days'</w:t>
      </w:r>
    </w:p>
    <w:p w:rsidR="005A3E2A" w:rsidRPr="00296F1C" w:rsidRDefault="005A3E2A" w:rsidP="005A3E2A">
      <w:pPr>
        <w:autoSpaceDE/>
        <w:autoSpaceDN/>
        <w:adjustRightInd/>
        <w:spacing w:after="0"/>
        <w:jc w:val="center"/>
        <w:rPr>
          <w:rFonts w:eastAsia="Times New Roman" w:cs="Arial"/>
          <w:i/>
          <w:color w:val="auto"/>
          <w:highlight w:val="yellow"/>
          <w:lang w:eastAsia="en-GB"/>
        </w:rPr>
      </w:pP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Overall achievement against SLA targets over the year was 96% (97% in the previous year).  </w:t>
      </w:r>
    </w:p>
    <w:p w:rsidR="005A3E2A" w:rsidRPr="00296F1C" w:rsidRDefault="005A3E2A" w:rsidP="005A3E2A">
      <w:pPr>
        <w:autoSpaceDE/>
        <w:autoSpaceDN/>
        <w:adjustRightInd/>
        <w:spacing w:after="0"/>
        <w:jc w:val="left"/>
        <w:rPr>
          <w:rFonts w:eastAsia="Times New Roman" w:cs="Arial"/>
          <w:color w:val="auto"/>
          <w:lang w:eastAsia="en-GB"/>
        </w:rPr>
      </w:pP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The average time elapsed between retirement date and date of first pension payment has been reduced from 45 days in the year to 31 March 2017 to 42 days in the year to 31 March 2018.</w:t>
      </w:r>
    </w:p>
    <w:p w:rsidR="005A3E2A" w:rsidRPr="00296F1C" w:rsidRDefault="005A3E2A" w:rsidP="005A3E2A">
      <w:pPr>
        <w:autoSpaceDE/>
        <w:autoSpaceDN/>
        <w:adjustRightInd/>
        <w:spacing w:after="0"/>
        <w:jc w:val="left"/>
        <w:rPr>
          <w:rFonts w:eastAsia="Times New Roman" w:cs="Arial"/>
          <w:color w:val="auto"/>
          <w:highlight w:val="yellow"/>
          <w:lang w:eastAsia="en-GB"/>
        </w:rPr>
      </w:pPr>
    </w:p>
    <w:p w:rsidR="005A3E2A" w:rsidRPr="00296F1C" w:rsidRDefault="005A3E2A" w:rsidP="005A3E2A">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Customer service</w:t>
      </w: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Each year the Service's dedicated Engagement Team undertakes a variety of events, courses and presentations. In addition the team visits Scheme employers to maintain and improve working relationships. The Partnerships Team also undertakes annual pension surgeries and pension drop-in sessions as well as facilitating an annual employer conference.</w:t>
      </w:r>
    </w:p>
    <w:p w:rsidR="005A3E2A" w:rsidRPr="00296F1C" w:rsidRDefault="005A3E2A" w:rsidP="005A3E2A">
      <w:pPr>
        <w:rPr>
          <w:rFonts w:eastAsiaTheme="minorHAnsi" w:cs="Arial"/>
        </w:rPr>
      </w:pPr>
    </w:p>
    <w:p w:rsidR="005A3E2A" w:rsidRPr="007350DB" w:rsidRDefault="005A3E2A" w:rsidP="007350DB">
      <w:pPr>
        <w:jc w:val="left"/>
        <w:rPr>
          <w:rFonts w:cs="Arial"/>
          <w:color w:val="auto"/>
        </w:rPr>
      </w:pPr>
      <w:r w:rsidRPr="007350DB">
        <w:rPr>
          <w:rFonts w:cs="Arial"/>
          <w:color w:val="auto"/>
        </w:rPr>
        <w:t>The</w:t>
      </w:r>
      <w:r w:rsidRPr="007350DB">
        <w:rPr>
          <w:rFonts w:cs="Arial"/>
          <w:color w:val="auto"/>
          <w:spacing w:val="2"/>
        </w:rPr>
        <w:t xml:space="preserve"> </w:t>
      </w:r>
      <w:r w:rsidRPr="007350DB">
        <w:rPr>
          <w:rFonts w:cs="Arial"/>
          <w:color w:val="auto"/>
        </w:rPr>
        <w:t>annual</w:t>
      </w:r>
      <w:r w:rsidRPr="007350DB">
        <w:rPr>
          <w:rFonts w:cs="Arial"/>
          <w:color w:val="auto"/>
          <w:spacing w:val="21"/>
        </w:rPr>
        <w:t xml:space="preserve"> employer </w:t>
      </w:r>
      <w:r w:rsidRPr="007350DB">
        <w:rPr>
          <w:rFonts w:cs="Arial"/>
          <w:color w:val="auto"/>
          <w:w w:val="107"/>
        </w:rPr>
        <w:t>conference</w:t>
      </w:r>
      <w:r w:rsidRPr="007350DB">
        <w:rPr>
          <w:rFonts w:cs="Arial"/>
          <w:color w:val="auto"/>
          <w:spacing w:val="-2"/>
          <w:w w:val="107"/>
        </w:rPr>
        <w:t xml:space="preserve"> </w:t>
      </w:r>
      <w:r w:rsidRPr="007350DB">
        <w:rPr>
          <w:rFonts w:cs="Arial"/>
          <w:color w:val="auto"/>
        </w:rPr>
        <w:t>was</w:t>
      </w:r>
      <w:r w:rsidRPr="007350DB">
        <w:rPr>
          <w:rFonts w:cs="Arial"/>
          <w:color w:val="auto"/>
          <w:spacing w:val="24"/>
        </w:rPr>
        <w:t xml:space="preserve"> </w:t>
      </w:r>
      <w:r w:rsidRPr="007350DB">
        <w:rPr>
          <w:rFonts w:cs="Arial"/>
          <w:color w:val="auto"/>
        </w:rPr>
        <w:t>held</w:t>
      </w:r>
      <w:r w:rsidRPr="007350DB">
        <w:rPr>
          <w:rFonts w:cs="Arial"/>
          <w:color w:val="auto"/>
          <w:spacing w:val="18"/>
        </w:rPr>
        <w:t xml:space="preserve"> </w:t>
      </w:r>
      <w:r w:rsidRPr="007350DB">
        <w:rPr>
          <w:rFonts w:cs="Arial"/>
          <w:color w:val="auto"/>
        </w:rPr>
        <w:t>on</w:t>
      </w:r>
      <w:r w:rsidRPr="007350DB">
        <w:rPr>
          <w:rFonts w:cs="Arial"/>
          <w:color w:val="auto"/>
          <w:spacing w:val="16"/>
        </w:rPr>
        <w:t xml:space="preserve"> </w:t>
      </w:r>
      <w:r w:rsidRPr="007350DB">
        <w:rPr>
          <w:rFonts w:cs="Arial"/>
          <w:color w:val="auto"/>
        </w:rPr>
        <w:t>the</w:t>
      </w:r>
      <w:r w:rsidRPr="007350DB">
        <w:rPr>
          <w:rFonts w:cs="Arial"/>
          <w:color w:val="auto"/>
          <w:spacing w:val="17"/>
        </w:rPr>
        <w:t xml:space="preserve"> </w:t>
      </w:r>
      <w:r w:rsidRPr="007350DB">
        <w:rPr>
          <w:rFonts w:cs="Arial"/>
          <w:color w:val="auto"/>
        </w:rPr>
        <w:t>15th</w:t>
      </w:r>
      <w:r w:rsidRPr="007350DB">
        <w:rPr>
          <w:rFonts w:cs="Arial"/>
          <w:color w:val="auto"/>
          <w:spacing w:val="6"/>
        </w:rPr>
        <w:t xml:space="preserve"> </w:t>
      </w:r>
      <w:r w:rsidRPr="007350DB">
        <w:rPr>
          <w:rFonts w:cs="Arial"/>
          <w:color w:val="auto"/>
        </w:rPr>
        <w:t>November</w:t>
      </w:r>
      <w:r w:rsidRPr="007350DB">
        <w:rPr>
          <w:rFonts w:cs="Arial"/>
          <w:color w:val="auto"/>
          <w:spacing w:val="32"/>
        </w:rPr>
        <w:t xml:space="preserve"> </w:t>
      </w:r>
      <w:r w:rsidRPr="007350DB">
        <w:rPr>
          <w:rFonts w:cs="Arial"/>
          <w:color w:val="auto"/>
        </w:rPr>
        <w:t>2017</w:t>
      </w:r>
      <w:r w:rsidRPr="007350DB">
        <w:rPr>
          <w:rFonts w:cs="Arial"/>
          <w:color w:val="auto"/>
          <w:spacing w:val="21"/>
        </w:rPr>
        <w:t xml:space="preserve"> </w:t>
      </w:r>
      <w:r w:rsidRPr="007350DB">
        <w:rPr>
          <w:rFonts w:cs="Arial"/>
          <w:color w:val="auto"/>
        </w:rPr>
        <w:t>at</w:t>
      </w:r>
      <w:r w:rsidRPr="007350DB">
        <w:rPr>
          <w:rFonts w:cs="Arial"/>
          <w:color w:val="auto"/>
          <w:spacing w:val="9"/>
        </w:rPr>
        <w:t xml:space="preserve"> </w:t>
      </w:r>
      <w:r w:rsidRPr="007350DB">
        <w:rPr>
          <w:rFonts w:cs="Arial"/>
          <w:color w:val="auto"/>
        </w:rPr>
        <w:t>the</w:t>
      </w:r>
      <w:r w:rsidRPr="007350DB">
        <w:rPr>
          <w:rFonts w:cs="Arial"/>
          <w:color w:val="auto"/>
          <w:spacing w:val="17"/>
        </w:rPr>
        <w:t xml:space="preserve"> </w:t>
      </w:r>
      <w:r w:rsidRPr="007350DB">
        <w:rPr>
          <w:rFonts w:cs="Arial"/>
          <w:color w:val="auto"/>
          <w:w w:val="95"/>
        </w:rPr>
        <w:t>Hallmark</w:t>
      </w:r>
      <w:r w:rsidRPr="007350DB">
        <w:rPr>
          <w:rFonts w:cs="Arial"/>
          <w:color w:val="auto"/>
          <w:spacing w:val="5"/>
          <w:w w:val="95"/>
        </w:rPr>
        <w:t xml:space="preserve"> </w:t>
      </w:r>
      <w:r w:rsidRPr="007350DB">
        <w:rPr>
          <w:rFonts w:cs="Arial"/>
          <w:color w:val="auto"/>
        </w:rPr>
        <w:t>Hotel in</w:t>
      </w:r>
      <w:r w:rsidRPr="007350DB">
        <w:rPr>
          <w:rFonts w:cs="Arial"/>
          <w:color w:val="auto"/>
          <w:spacing w:val="-19"/>
        </w:rPr>
        <w:t xml:space="preserve"> </w:t>
      </w:r>
      <w:r w:rsidRPr="007350DB">
        <w:rPr>
          <w:rFonts w:cs="Arial"/>
          <w:color w:val="auto"/>
        </w:rPr>
        <w:t>Leyland</w:t>
      </w:r>
      <w:r w:rsidRPr="007350DB">
        <w:rPr>
          <w:rFonts w:cs="Arial"/>
          <w:color w:val="auto"/>
          <w:spacing w:val="-6"/>
        </w:rPr>
        <w:t xml:space="preserve"> </w:t>
      </w:r>
      <w:r w:rsidRPr="007350DB">
        <w:rPr>
          <w:rFonts w:cs="Arial"/>
          <w:color w:val="auto"/>
          <w:w w:val="90"/>
        </w:rPr>
        <w:t>with</w:t>
      </w:r>
      <w:r w:rsidRPr="007350DB">
        <w:rPr>
          <w:rFonts w:cs="Arial"/>
          <w:color w:val="auto"/>
          <w:spacing w:val="8"/>
          <w:w w:val="90"/>
        </w:rPr>
        <w:t xml:space="preserve"> </w:t>
      </w:r>
      <w:r w:rsidRPr="007350DB">
        <w:rPr>
          <w:rFonts w:cs="Arial"/>
          <w:color w:val="auto"/>
        </w:rPr>
        <w:t>over</w:t>
      </w:r>
      <w:r w:rsidRPr="007350DB">
        <w:rPr>
          <w:rFonts w:cs="Arial"/>
          <w:color w:val="auto"/>
          <w:spacing w:val="-2"/>
        </w:rPr>
        <w:t xml:space="preserve"> </w:t>
      </w:r>
      <w:r w:rsidRPr="007350DB">
        <w:rPr>
          <w:rFonts w:cs="Arial"/>
          <w:color w:val="auto"/>
        </w:rPr>
        <w:t>80</w:t>
      </w:r>
      <w:r w:rsidRPr="007350DB">
        <w:rPr>
          <w:rFonts w:cs="Arial"/>
          <w:color w:val="auto"/>
          <w:spacing w:val="12"/>
        </w:rPr>
        <w:t xml:space="preserve"> </w:t>
      </w:r>
      <w:r w:rsidRPr="007350DB">
        <w:rPr>
          <w:rFonts w:cs="Arial"/>
          <w:color w:val="auto"/>
        </w:rPr>
        <w:t>employers</w:t>
      </w:r>
      <w:r w:rsidRPr="007350DB">
        <w:rPr>
          <w:rFonts w:cs="Arial"/>
          <w:color w:val="auto"/>
          <w:spacing w:val="42"/>
        </w:rPr>
        <w:t xml:space="preserve"> </w:t>
      </w:r>
      <w:r w:rsidRPr="007350DB">
        <w:rPr>
          <w:rFonts w:cs="Arial"/>
          <w:color w:val="auto"/>
        </w:rPr>
        <w:t>in</w:t>
      </w:r>
      <w:r w:rsidRPr="007350DB">
        <w:rPr>
          <w:rFonts w:cs="Arial"/>
          <w:color w:val="auto"/>
          <w:spacing w:val="-19"/>
        </w:rPr>
        <w:t xml:space="preserve"> </w:t>
      </w:r>
      <w:r w:rsidRPr="007350DB">
        <w:rPr>
          <w:rFonts w:cs="Arial"/>
          <w:color w:val="auto"/>
          <w:w w:val="109"/>
        </w:rPr>
        <w:t>attendance.</w:t>
      </w:r>
      <w:r w:rsidRPr="007350DB">
        <w:rPr>
          <w:rFonts w:cs="Arial"/>
          <w:color w:val="auto"/>
          <w:spacing w:val="-3"/>
          <w:w w:val="109"/>
        </w:rPr>
        <w:t xml:space="preserve"> P</w:t>
      </w:r>
      <w:r w:rsidRPr="007350DB">
        <w:rPr>
          <w:rFonts w:cs="Arial"/>
          <w:color w:val="auto"/>
          <w:w w:val="106"/>
        </w:rPr>
        <w:t>resentations</w:t>
      </w:r>
      <w:r w:rsidRPr="007350DB">
        <w:rPr>
          <w:rFonts w:cs="Arial"/>
          <w:color w:val="auto"/>
          <w:spacing w:val="-2"/>
          <w:w w:val="106"/>
        </w:rPr>
        <w:t xml:space="preserve"> </w:t>
      </w:r>
      <w:r w:rsidRPr="007350DB">
        <w:rPr>
          <w:rFonts w:cs="Arial"/>
          <w:color w:val="auto"/>
        </w:rPr>
        <w:t>included</w:t>
      </w:r>
      <w:r w:rsidRPr="007350DB">
        <w:rPr>
          <w:rFonts w:cs="Arial"/>
          <w:color w:val="auto"/>
          <w:spacing w:val="35"/>
        </w:rPr>
        <w:t xml:space="preserve"> </w:t>
      </w:r>
      <w:r w:rsidRPr="007350DB">
        <w:rPr>
          <w:rFonts w:cs="Arial"/>
          <w:color w:val="auto"/>
        </w:rPr>
        <w:t>a</w:t>
      </w:r>
      <w:r w:rsidRPr="007350DB">
        <w:rPr>
          <w:rFonts w:cs="Arial"/>
          <w:color w:val="auto"/>
          <w:spacing w:val="17"/>
        </w:rPr>
        <w:t xml:space="preserve"> </w:t>
      </w:r>
      <w:r w:rsidRPr="007350DB">
        <w:rPr>
          <w:rFonts w:cs="Arial"/>
          <w:color w:val="auto"/>
          <w:w w:val="102"/>
        </w:rPr>
        <w:t xml:space="preserve">technical </w:t>
      </w:r>
      <w:r w:rsidRPr="007350DB">
        <w:rPr>
          <w:rFonts w:cs="Arial"/>
          <w:color w:val="auto"/>
        </w:rPr>
        <w:t>update, new</w:t>
      </w:r>
      <w:r w:rsidRPr="007350DB">
        <w:rPr>
          <w:rFonts w:cs="Arial"/>
          <w:color w:val="auto"/>
          <w:spacing w:val="10"/>
        </w:rPr>
        <w:t xml:space="preserve"> </w:t>
      </w:r>
      <w:r w:rsidRPr="007350DB">
        <w:rPr>
          <w:rFonts w:cs="Arial"/>
          <w:color w:val="auto"/>
        </w:rPr>
        <w:t>GDPR</w:t>
      </w:r>
      <w:r w:rsidRPr="007350DB">
        <w:rPr>
          <w:rFonts w:cs="Arial"/>
          <w:color w:val="auto"/>
          <w:spacing w:val="-17"/>
        </w:rPr>
        <w:t xml:space="preserve"> </w:t>
      </w:r>
      <w:r w:rsidRPr="007350DB">
        <w:rPr>
          <w:rFonts w:cs="Arial"/>
          <w:color w:val="auto"/>
        </w:rPr>
        <w:t>regulations</w:t>
      </w:r>
      <w:r w:rsidRPr="007350DB">
        <w:rPr>
          <w:rFonts w:cs="Arial"/>
          <w:color w:val="auto"/>
          <w:spacing w:val="13"/>
        </w:rPr>
        <w:t xml:space="preserve"> </w:t>
      </w:r>
      <w:r w:rsidRPr="007350DB">
        <w:rPr>
          <w:rFonts w:cs="Arial"/>
          <w:color w:val="auto"/>
        </w:rPr>
        <w:t>and</w:t>
      </w:r>
      <w:r w:rsidRPr="007350DB">
        <w:rPr>
          <w:rFonts w:cs="Arial"/>
          <w:color w:val="auto"/>
          <w:spacing w:val="37"/>
        </w:rPr>
        <w:t xml:space="preserve"> </w:t>
      </w:r>
      <w:r w:rsidRPr="007350DB">
        <w:rPr>
          <w:rFonts w:cs="Arial"/>
          <w:color w:val="auto"/>
        </w:rPr>
        <w:t>a</w:t>
      </w:r>
      <w:r w:rsidRPr="007350DB">
        <w:rPr>
          <w:rFonts w:cs="Arial"/>
          <w:color w:val="auto"/>
          <w:spacing w:val="17"/>
        </w:rPr>
        <w:t xml:space="preserve"> </w:t>
      </w:r>
      <w:r w:rsidRPr="007350DB">
        <w:rPr>
          <w:rFonts w:cs="Arial"/>
          <w:color w:val="auto"/>
          <w:w w:val="95"/>
        </w:rPr>
        <w:t>training</w:t>
      </w:r>
      <w:r w:rsidRPr="007350DB">
        <w:rPr>
          <w:rFonts w:cs="Arial"/>
          <w:color w:val="auto"/>
          <w:spacing w:val="5"/>
          <w:w w:val="95"/>
        </w:rPr>
        <w:t xml:space="preserve"> </w:t>
      </w:r>
      <w:r w:rsidRPr="007350DB">
        <w:rPr>
          <w:rFonts w:cs="Arial"/>
          <w:color w:val="auto"/>
          <w:w w:val="95"/>
        </w:rPr>
        <w:t>overview</w:t>
      </w:r>
      <w:r w:rsidRPr="007350DB">
        <w:rPr>
          <w:rFonts w:cs="Arial"/>
          <w:color w:val="auto"/>
          <w:spacing w:val="14"/>
          <w:w w:val="95"/>
        </w:rPr>
        <w:t xml:space="preserve"> </w:t>
      </w:r>
      <w:r w:rsidRPr="007350DB">
        <w:rPr>
          <w:rFonts w:cs="Arial"/>
          <w:color w:val="auto"/>
        </w:rPr>
        <w:t>covering</w:t>
      </w:r>
      <w:r w:rsidRPr="007350DB">
        <w:rPr>
          <w:rFonts w:cs="Arial"/>
          <w:color w:val="auto"/>
          <w:spacing w:val="10"/>
        </w:rPr>
        <w:t xml:space="preserve"> pensionable </w:t>
      </w:r>
      <w:r w:rsidRPr="007350DB">
        <w:rPr>
          <w:rFonts w:cs="Arial"/>
          <w:color w:val="auto"/>
        </w:rPr>
        <w:t>pay.</w:t>
      </w:r>
      <w:r w:rsidRPr="007350DB">
        <w:rPr>
          <w:rFonts w:cs="Arial"/>
          <w:color w:val="auto"/>
          <w:spacing w:val="49"/>
        </w:rPr>
        <w:t xml:space="preserve"> </w:t>
      </w:r>
      <w:r w:rsidRPr="007350DB">
        <w:rPr>
          <w:rFonts w:cs="Arial"/>
          <w:color w:val="auto"/>
        </w:rPr>
        <w:t>The service</w:t>
      </w:r>
      <w:r w:rsidRPr="007350DB">
        <w:rPr>
          <w:rFonts w:cs="Arial"/>
          <w:color w:val="auto"/>
          <w:spacing w:val="22"/>
        </w:rPr>
        <w:t xml:space="preserve"> </w:t>
      </w:r>
      <w:r w:rsidRPr="007350DB">
        <w:rPr>
          <w:rFonts w:cs="Arial"/>
          <w:color w:val="auto"/>
        </w:rPr>
        <w:t>also</w:t>
      </w:r>
      <w:r w:rsidRPr="007350DB">
        <w:rPr>
          <w:rFonts w:cs="Arial"/>
          <w:color w:val="auto"/>
          <w:spacing w:val="25"/>
        </w:rPr>
        <w:t xml:space="preserve"> </w:t>
      </w:r>
      <w:r w:rsidRPr="007350DB">
        <w:rPr>
          <w:rFonts w:cs="Arial"/>
          <w:color w:val="auto"/>
        </w:rPr>
        <w:t>hosted a Directors</w:t>
      </w:r>
      <w:r w:rsidRPr="007350DB">
        <w:rPr>
          <w:rFonts w:cs="Arial"/>
          <w:color w:val="auto"/>
          <w:spacing w:val="-7"/>
        </w:rPr>
        <w:t xml:space="preserve"> </w:t>
      </w:r>
      <w:r w:rsidRPr="007350DB">
        <w:rPr>
          <w:rFonts w:cs="Arial"/>
          <w:color w:val="auto"/>
          <w:w w:val="88"/>
        </w:rPr>
        <w:t xml:space="preserve">Briefing </w:t>
      </w:r>
      <w:r w:rsidRPr="007350DB">
        <w:rPr>
          <w:rFonts w:cs="Arial"/>
          <w:color w:val="auto"/>
        </w:rPr>
        <w:t>in</w:t>
      </w:r>
      <w:r w:rsidRPr="007350DB">
        <w:rPr>
          <w:rFonts w:cs="Arial"/>
          <w:color w:val="auto"/>
          <w:spacing w:val="-19"/>
        </w:rPr>
        <w:t xml:space="preserve"> </w:t>
      </w:r>
      <w:r w:rsidRPr="007350DB">
        <w:rPr>
          <w:rFonts w:cs="Arial"/>
          <w:color w:val="auto"/>
        </w:rPr>
        <w:t>December 2017 on</w:t>
      </w:r>
      <w:r w:rsidRPr="007350DB">
        <w:rPr>
          <w:rFonts w:cs="Arial"/>
          <w:color w:val="auto"/>
          <w:spacing w:val="16"/>
        </w:rPr>
        <w:t xml:space="preserve"> </w:t>
      </w:r>
      <w:r w:rsidRPr="007350DB">
        <w:rPr>
          <w:rFonts w:cs="Arial"/>
          <w:color w:val="auto"/>
        </w:rPr>
        <w:t>behalf</w:t>
      </w:r>
      <w:r w:rsidRPr="007350DB">
        <w:rPr>
          <w:rFonts w:cs="Arial"/>
          <w:color w:val="auto"/>
          <w:spacing w:val="8"/>
        </w:rPr>
        <w:t xml:space="preserve"> </w:t>
      </w:r>
      <w:r w:rsidRPr="007350DB">
        <w:rPr>
          <w:rFonts w:cs="Arial"/>
          <w:color w:val="auto"/>
        </w:rPr>
        <w:t>of</w:t>
      </w:r>
      <w:r w:rsidRPr="007350DB">
        <w:rPr>
          <w:rFonts w:cs="Arial"/>
          <w:color w:val="auto"/>
          <w:spacing w:val="-10"/>
        </w:rPr>
        <w:t xml:space="preserve"> </w:t>
      </w:r>
      <w:r w:rsidRPr="007350DB">
        <w:rPr>
          <w:rFonts w:cs="Arial"/>
          <w:color w:val="auto"/>
        </w:rPr>
        <w:t>the</w:t>
      </w:r>
      <w:r w:rsidRPr="007350DB">
        <w:rPr>
          <w:rFonts w:cs="Arial"/>
          <w:color w:val="auto"/>
          <w:spacing w:val="17"/>
        </w:rPr>
        <w:t xml:space="preserve"> </w:t>
      </w:r>
      <w:r w:rsidRPr="007350DB">
        <w:rPr>
          <w:rFonts w:cs="Arial"/>
          <w:color w:val="auto"/>
        </w:rPr>
        <w:t>fund</w:t>
      </w:r>
      <w:r w:rsidRPr="007350DB">
        <w:rPr>
          <w:rFonts w:cs="Arial"/>
          <w:color w:val="auto"/>
          <w:spacing w:val="6"/>
        </w:rPr>
        <w:t xml:space="preserve"> </w:t>
      </w:r>
      <w:r w:rsidRPr="007350DB">
        <w:rPr>
          <w:rFonts w:cs="Arial"/>
          <w:color w:val="auto"/>
          <w:w w:val="90"/>
        </w:rPr>
        <w:t>with</w:t>
      </w:r>
      <w:r w:rsidRPr="007350DB">
        <w:rPr>
          <w:rFonts w:cs="Arial"/>
          <w:color w:val="auto"/>
          <w:spacing w:val="8"/>
          <w:w w:val="90"/>
        </w:rPr>
        <w:t xml:space="preserve"> </w:t>
      </w:r>
      <w:r w:rsidRPr="007350DB">
        <w:rPr>
          <w:rFonts w:cs="Arial"/>
          <w:color w:val="auto"/>
        </w:rPr>
        <w:t>over</w:t>
      </w:r>
      <w:r w:rsidRPr="007350DB">
        <w:rPr>
          <w:rFonts w:cs="Arial"/>
          <w:color w:val="auto"/>
          <w:spacing w:val="-2"/>
        </w:rPr>
        <w:t xml:space="preserve"> </w:t>
      </w:r>
      <w:r w:rsidRPr="007350DB">
        <w:rPr>
          <w:rFonts w:cs="Arial"/>
          <w:color w:val="auto"/>
        </w:rPr>
        <w:t>40</w:t>
      </w:r>
      <w:r w:rsidRPr="007350DB">
        <w:rPr>
          <w:rFonts w:cs="Arial"/>
          <w:color w:val="auto"/>
          <w:spacing w:val="12"/>
        </w:rPr>
        <w:t xml:space="preserve"> </w:t>
      </w:r>
      <w:r w:rsidRPr="007350DB">
        <w:rPr>
          <w:rFonts w:cs="Arial"/>
          <w:color w:val="auto"/>
          <w:w w:val="102"/>
        </w:rPr>
        <w:t xml:space="preserve">finance </w:t>
      </w:r>
      <w:r w:rsidRPr="007350DB">
        <w:rPr>
          <w:rFonts w:cs="Arial"/>
          <w:color w:val="auto"/>
        </w:rPr>
        <w:t>professionals</w:t>
      </w:r>
      <w:r w:rsidRPr="007350DB">
        <w:rPr>
          <w:rFonts w:cs="Arial"/>
          <w:color w:val="auto"/>
          <w:spacing w:val="53"/>
        </w:rPr>
        <w:t xml:space="preserve"> </w:t>
      </w:r>
      <w:r w:rsidRPr="007350DB">
        <w:rPr>
          <w:rFonts w:cs="Arial"/>
          <w:color w:val="auto"/>
        </w:rPr>
        <w:t>in</w:t>
      </w:r>
      <w:r w:rsidRPr="007350DB">
        <w:rPr>
          <w:rFonts w:cs="Arial"/>
          <w:color w:val="auto"/>
          <w:spacing w:val="-19"/>
        </w:rPr>
        <w:t xml:space="preserve"> </w:t>
      </w:r>
      <w:r w:rsidRPr="007350DB">
        <w:rPr>
          <w:rFonts w:cs="Arial"/>
          <w:color w:val="auto"/>
          <w:w w:val="109"/>
        </w:rPr>
        <w:t>attendance.</w:t>
      </w:r>
    </w:p>
    <w:p w:rsidR="005A3E2A" w:rsidRPr="00296F1C" w:rsidRDefault="005A3E2A" w:rsidP="005A3E2A">
      <w:pPr>
        <w:autoSpaceDE/>
        <w:autoSpaceDN/>
        <w:adjustRightInd/>
        <w:spacing w:after="0"/>
        <w:jc w:val="left"/>
        <w:rPr>
          <w:rFonts w:eastAsia="Times New Roman" w:cs="Arial"/>
          <w:color w:val="auto"/>
          <w:highlight w:val="yellow"/>
          <w:lang w:eastAsia="en-GB"/>
        </w:rPr>
      </w:pPr>
    </w:p>
    <w:p w:rsidR="005A3E2A" w:rsidRPr="00296F1C" w:rsidRDefault="005A3E2A" w:rsidP="005A3E2A">
      <w:pPr>
        <w:spacing w:after="100" w:line="241" w:lineRule="atLeast"/>
        <w:jc w:val="left"/>
        <w:rPr>
          <w:rFonts w:eastAsia="Cambria" w:cs="Arial"/>
          <w:color w:val="auto"/>
          <w:lang w:eastAsia="en-GB"/>
        </w:rPr>
      </w:pPr>
      <w:r w:rsidRPr="00296F1C">
        <w:rPr>
          <w:rFonts w:eastAsia="Cambria" w:cs="Arial"/>
          <w:color w:val="auto"/>
          <w:lang w:eastAsia="en-GB"/>
        </w:rPr>
        <w:t xml:space="preserve">A dedicated helpdesk, AskPensions provides the first point of contact for members and employers. The helpdesk has a target to answer 90% of calls received. Between 1 April 2017 and 31 March 2018, 85,490 calls were received and 93% of them were answered.  </w:t>
      </w:r>
    </w:p>
    <w:p w:rsidR="005A3E2A" w:rsidRPr="00296F1C" w:rsidRDefault="005A3E2A" w:rsidP="005A3E2A">
      <w:pPr>
        <w:spacing w:after="0" w:line="241" w:lineRule="atLeast"/>
        <w:jc w:val="left"/>
        <w:rPr>
          <w:rFonts w:eastAsia="Cambria" w:cs="Arial"/>
          <w:color w:val="auto"/>
          <w:lang w:eastAsia="en-GB"/>
        </w:rPr>
      </w:pPr>
      <w:r w:rsidRPr="00296F1C">
        <w:rPr>
          <w:rFonts w:eastAsia="Cambria" w:cs="Arial"/>
          <w:color w:val="auto"/>
          <w:lang w:eastAsia="en-GB"/>
        </w:rPr>
        <w:t xml:space="preserve">During the year to 31 March </w:t>
      </w:r>
      <w:r w:rsidRPr="00033F98">
        <w:rPr>
          <w:rFonts w:eastAsia="Cambria" w:cs="Arial"/>
          <w:color w:val="auto"/>
          <w:lang w:eastAsia="en-GB"/>
        </w:rPr>
        <w:t>201</w:t>
      </w:r>
      <w:r w:rsidR="00033F98" w:rsidRPr="00033F98">
        <w:rPr>
          <w:rFonts w:eastAsia="Cambria" w:cs="Arial"/>
          <w:color w:val="auto"/>
          <w:lang w:eastAsia="en-GB"/>
        </w:rPr>
        <w:t>8</w:t>
      </w:r>
      <w:r w:rsidRPr="00296F1C">
        <w:rPr>
          <w:rFonts w:eastAsia="Cambria" w:cs="Arial"/>
          <w:color w:val="auto"/>
          <w:lang w:eastAsia="en-GB"/>
        </w:rPr>
        <w:t xml:space="preserve">, the service received 18 compliments (29 in the previous year), relating to the good customer service provided by the staff within the pensions administration team.  During the same period, 49 complaints were received (38 in the previous year).  Almost all the complaints were from members relating to the late payment of pension and time taken to process pensions. </w:t>
      </w:r>
    </w:p>
    <w:p w:rsidR="005A3E2A" w:rsidRPr="00296F1C" w:rsidRDefault="005A3E2A" w:rsidP="005A3E2A">
      <w:pPr>
        <w:spacing w:after="0" w:line="241" w:lineRule="atLeast"/>
        <w:jc w:val="left"/>
        <w:rPr>
          <w:rFonts w:eastAsia="Cambria" w:cs="Arial"/>
          <w:color w:val="auto"/>
          <w:lang w:eastAsia="en-GB"/>
        </w:rPr>
      </w:pPr>
    </w:p>
    <w:p w:rsidR="005A3E2A" w:rsidRPr="00296F1C" w:rsidRDefault="005A3E2A" w:rsidP="005A3E2A">
      <w:pPr>
        <w:autoSpaceDE/>
        <w:autoSpaceDN/>
        <w:adjustRightInd/>
        <w:spacing w:after="0"/>
        <w:jc w:val="left"/>
        <w:rPr>
          <w:rFonts w:eastAsia="Cambria" w:cs="Arial"/>
          <w:color w:val="auto"/>
          <w:lang w:eastAsia="en-GB"/>
        </w:rPr>
      </w:pPr>
      <w:r w:rsidRPr="00296F1C">
        <w:rPr>
          <w:rFonts w:eastAsia="Cambria" w:cs="Arial"/>
          <w:color w:val="auto"/>
          <w:lang w:eastAsia="en-GB"/>
        </w:rPr>
        <w:t>The service also received and responded to over 40,000 emails as at 31 March 2018.</w:t>
      </w:r>
    </w:p>
    <w:p w:rsidR="005A3E2A" w:rsidRPr="00296F1C" w:rsidRDefault="005A3E2A" w:rsidP="005A3E2A">
      <w:pPr>
        <w:autoSpaceDE/>
        <w:autoSpaceDN/>
        <w:adjustRightInd/>
        <w:spacing w:after="0"/>
        <w:jc w:val="left"/>
        <w:rPr>
          <w:rFonts w:eastAsia="Times New Roman" w:cs="Arial"/>
          <w:color w:val="auto"/>
          <w:highlight w:val="yellow"/>
          <w:lang w:eastAsia="en-GB"/>
        </w:rPr>
      </w:pPr>
    </w:p>
    <w:p w:rsidR="005A3E2A" w:rsidRPr="00296F1C" w:rsidRDefault="005A3E2A" w:rsidP="005A3E2A">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Legislative changes</w:t>
      </w:r>
    </w:p>
    <w:p w:rsidR="005A3E2A" w:rsidRPr="00296F1C" w:rsidRDefault="005A3E2A" w:rsidP="005A3E2A">
      <w:pPr>
        <w:pStyle w:val="Pa1"/>
        <w:spacing w:after="100"/>
        <w:rPr>
          <w:rStyle w:val="A14"/>
          <w:rFonts w:ascii="Arial" w:hAnsi="Arial" w:cs="Arial"/>
          <w:b w:val="0"/>
          <w:bCs w:val="0"/>
          <w:color w:val="auto"/>
          <w:sz w:val="24"/>
          <w:szCs w:val="24"/>
        </w:rPr>
      </w:pPr>
      <w:r w:rsidRPr="00296F1C">
        <w:rPr>
          <w:rStyle w:val="A14"/>
          <w:rFonts w:ascii="Arial" w:hAnsi="Arial" w:cs="Arial"/>
          <w:b w:val="0"/>
          <w:sz w:val="24"/>
          <w:szCs w:val="24"/>
        </w:rPr>
        <w:t>Amendments to the Scheme’s rules are expected to take ef</w:t>
      </w:r>
      <w:r w:rsidR="00033F98">
        <w:rPr>
          <w:rStyle w:val="A14"/>
          <w:rFonts w:ascii="Arial" w:hAnsi="Arial" w:cs="Arial"/>
          <w:b w:val="0"/>
          <w:sz w:val="24"/>
          <w:szCs w:val="24"/>
        </w:rPr>
        <w:t xml:space="preserve">fect during 2018. These include </w:t>
      </w:r>
      <w:r w:rsidRPr="00296F1C">
        <w:rPr>
          <w:rStyle w:val="A14"/>
          <w:rFonts w:ascii="Arial" w:hAnsi="Arial" w:cs="Arial"/>
          <w:b w:val="0"/>
          <w:color w:val="auto"/>
          <w:sz w:val="24"/>
          <w:szCs w:val="24"/>
        </w:rPr>
        <w:t>allowing members aged between 55 and 60 who left before 1 April 2014 to draw</w:t>
      </w:r>
      <w:r w:rsidRPr="00296F1C">
        <w:rPr>
          <w:rFonts w:ascii="Arial" w:hAnsi="Arial" w:cs="Arial"/>
        </w:rPr>
        <w:t xml:space="preserve"> </w:t>
      </w:r>
      <w:r w:rsidRPr="00296F1C">
        <w:rPr>
          <w:rStyle w:val="A14"/>
          <w:rFonts w:ascii="Arial" w:hAnsi="Arial" w:cs="Arial"/>
          <w:b w:val="0"/>
          <w:sz w:val="24"/>
          <w:szCs w:val="24"/>
        </w:rPr>
        <w:t>their deferred benefits at a reduced rate without needing t</w:t>
      </w:r>
      <w:r w:rsidR="00033F98">
        <w:rPr>
          <w:rStyle w:val="A14"/>
          <w:rFonts w:ascii="Arial" w:hAnsi="Arial" w:cs="Arial"/>
          <w:b w:val="0"/>
          <w:sz w:val="24"/>
          <w:szCs w:val="24"/>
        </w:rPr>
        <w:t>heir former employer’s consent.</w:t>
      </w:r>
    </w:p>
    <w:p w:rsidR="005A3E2A" w:rsidRPr="00296F1C" w:rsidRDefault="005A3E2A" w:rsidP="005A3E2A">
      <w:pPr>
        <w:autoSpaceDE/>
        <w:autoSpaceDN/>
        <w:adjustRightInd/>
        <w:spacing w:after="0"/>
        <w:jc w:val="left"/>
        <w:rPr>
          <w:rFonts w:eastAsia="Times New Roman" w:cs="Arial"/>
          <w:color w:val="auto"/>
          <w:highlight w:val="yellow"/>
          <w:lang w:eastAsia="en-GB"/>
        </w:rPr>
      </w:pPr>
    </w:p>
    <w:p w:rsidR="005A3E2A" w:rsidRPr="00296F1C" w:rsidRDefault="005A3E2A" w:rsidP="005A3E2A">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Service developments</w:t>
      </w:r>
    </w:p>
    <w:p w:rsidR="005A3E2A" w:rsidRPr="00296F1C" w:rsidRDefault="005A3E2A" w:rsidP="005A3E2A">
      <w:pPr>
        <w:rPr>
          <w:rFonts w:cs="Arial"/>
          <w:color w:val="auto"/>
        </w:rPr>
      </w:pPr>
      <w:r w:rsidRPr="00296F1C">
        <w:rPr>
          <w:rFonts w:cs="Arial"/>
          <w:color w:val="auto"/>
        </w:rPr>
        <w:t>During the year the Fund's administration service processed around 27,000 items of work</w:t>
      </w:r>
      <w:r w:rsidR="00A33453">
        <w:rPr>
          <w:rFonts w:cs="Arial"/>
          <w:color w:val="auto"/>
        </w:rPr>
        <w:t>.</w:t>
      </w:r>
      <w:r w:rsidRPr="00296F1C">
        <w:rPr>
          <w:rFonts w:cs="Arial"/>
          <w:color w:val="auto"/>
        </w:rPr>
        <w:t xml:space="preserve"> </w:t>
      </w:r>
    </w:p>
    <w:p w:rsidR="005A3E2A" w:rsidRPr="00296F1C" w:rsidRDefault="005A3E2A" w:rsidP="005A3E2A">
      <w:pPr>
        <w:rPr>
          <w:rFonts w:cs="Arial"/>
          <w:color w:val="auto"/>
        </w:rPr>
      </w:pPr>
      <w:r w:rsidRPr="00296F1C">
        <w:rPr>
          <w:rFonts w:cs="Arial"/>
          <w:color w:val="auto"/>
        </w:rPr>
        <w:t>Working closely with employers helps to enhance the quality and timeliness of data meaning that Annual Benefit Statements for the year ended 31</w:t>
      </w:r>
      <w:r w:rsidRPr="00296F1C">
        <w:rPr>
          <w:rFonts w:cs="Arial"/>
          <w:color w:val="auto"/>
          <w:vertAlign w:val="superscript"/>
        </w:rPr>
        <w:t>st</w:t>
      </w:r>
      <w:r w:rsidRPr="00296F1C">
        <w:rPr>
          <w:rFonts w:cs="Arial"/>
          <w:color w:val="auto"/>
        </w:rPr>
        <w:t xml:space="preserve"> March 2018 were published in line with the statutory deadline of 31 August. </w:t>
      </w:r>
    </w:p>
    <w:p w:rsidR="005A3E2A" w:rsidRPr="00296F1C" w:rsidRDefault="005A3E2A" w:rsidP="005A3E2A">
      <w:pPr>
        <w:pStyle w:val="Pa1"/>
        <w:spacing w:after="100"/>
        <w:rPr>
          <w:rFonts w:ascii="Arial" w:hAnsi="Arial" w:cs="Arial"/>
        </w:rPr>
      </w:pPr>
      <w:r w:rsidRPr="00296F1C">
        <w:rPr>
          <w:rFonts w:ascii="Arial" w:hAnsi="Arial" w:cs="Arial"/>
        </w:rPr>
        <w:t xml:space="preserve">Pension surgeries are hosted throughout the county on an annual basis from October through to March. The sessions help members to understand their annual benefit statements. </w:t>
      </w:r>
    </w:p>
    <w:p w:rsidR="005A3E2A" w:rsidRPr="00296F1C" w:rsidRDefault="00033F98" w:rsidP="005A3E2A">
      <w:pPr>
        <w:pStyle w:val="Pa1"/>
        <w:spacing w:after="100"/>
        <w:rPr>
          <w:rFonts w:ascii="Arial" w:hAnsi="Arial" w:cs="Arial"/>
        </w:rPr>
      </w:pPr>
      <w:r>
        <w:rPr>
          <w:rFonts w:ascii="Arial" w:hAnsi="Arial" w:cs="Arial"/>
        </w:rPr>
        <w:t>2 d</w:t>
      </w:r>
      <w:r w:rsidR="005A3E2A" w:rsidRPr="00296F1C">
        <w:rPr>
          <w:rFonts w:ascii="Arial" w:hAnsi="Arial" w:cs="Arial"/>
        </w:rPr>
        <w:t xml:space="preserve">rop in sessions are also hosted during the year where members (including pensioners) can be helped through the process of registering to use the online self-service portal. </w:t>
      </w:r>
    </w:p>
    <w:p w:rsidR="005A3E2A" w:rsidRPr="00296F1C" w:rsidRDefault="005A3E2A" w:rsidP="005A3E2A">
      <w:pPr>
        <w:autoSpaceDE/>
        <w:autoSpaceDN/>
        <w:adjustRightInd/>
        <w:spacing w:after="0"/>
        <w:jc w:val="left"/>
        <w:rPr>
          <w:rFonts w:eastAsia="Times New Roman" w:cs="Arial"/>
          <w:b/>
          <w:color w:val="auto"/>
          <w:highlight w:val="yellow"/>
          <w:lang w:eastAsia="en-GB"/>
        </w:rPr>
      </w:pPr>
    </w:p>
    <w:p w:rsidR="005A3E2A" w:rsidRPr="00296F1C" w:rsidRDefault="005A3E2A" w:rsidP="005A3E2A">
      <w:pPr>
        <w:pStyle w:val="Pa0"/>
        <w:rPr>
          <w:rFonts w:ascii="Arial" w:hAnsi="Arial" w:cs="Arial"/>
          <w:color w:val="000000"/>
        </w:rPr>
      </w:pPr>
      <w:r w:rsidRPr="00296F1C">
        <w:rPr>
          <w:rFonts w:ascii="Arial" w:hAnsi="Arial" w:cs="Arial"/>
          <w:b/>
          <w:color w:val="000000"/>
        </w:rPr>
        <w:t>Online Services</w:t>
      </w:r>
    </w:p>
    <w:p w:rsidR="005A3E2A" w:rsidRPr="00296F1C" w:rsidRDefault="005A3E2A" w:rsidP="005A3E2A">
      <w:pPr>
        <w:spacing w:after="0" w:line="241" w:lineRule="atLeast"/>
        <w:jc w:val="left"/>
        <w:rPr>
          <w:rFonts w:eastAsiaTheme="minorHAnsi" w:cs="Arial"/>
          <w:color w:val="auto"/>
        </w:rPr>
      </w:pPr>
      <w:r w:rsidRPr="00296F1C">
        <w:rPr>
          <w:rFonts w:eastAsiaTheme="minorHAnsi" w:cs="Arial"/>
          <w:color w:val="auto"/>
        </w:rPr>
        <w:t xml:space="preserve">My Pension Online is an online facility allowing members to view their details and also securely update any changes in contact details. </w:t>
      </w:r>
    </w:p>
    <w:p w:rsidR="005A3E2A" w:rsidRPr="00296F1C" w:rsidRDefault="005A3E2A" w:rsidP="005A3E2A">
      <w:pPr>
        <w:spacing w:after="0" w:line="241" w:lineRule="atLeast"/>
        <w:jc w:val="left"/>
        <w:rPr>
          <w:rFonts w:eastAsiaTheme="minorHAnsi" w:cs="Arial"/>
          <w:color w:val="auto"/>
        </w:rPr>
      </w:pPr>
    </w:p>
    <w:p w:rsidR="005A3E2A" w:rsidRPr="00296F1C" w:rsidRDefault="005A3E2A" w:rsidP="005A3E2A">
      <w:pPr>
        <w:spacing w:after="0" w:line="241" w:lineRule="atLeast"/>
        <w:jc w:val="left"/>
        <w:rPr>
          <w:rFonts w:eastAsiaTheme="minorHAnsi" w:cs="Arial"/>
          <w:color w:val="auto"/>
        </w:rPr>
      </w:pPr>
      <w:r w:rsidRPr="00296F1C">
        <w:rPr>
          <w:rFonts w:eastAsiaTheme="minorHAnsi" w:cs="Arial"/>
          <w:color w:val="auto"/>
        </w:rPr>
        <w:lastRenderedPageBreak/>
        <w:t xml:space="preserve">Members who are registered can run various pension estimates assisting with planning for retirement. Members can also view their annual benefit statement via My Pension Online. </w:t>
      </w:r>
    </w:p>
    <w:p w:rsidR="005A3E2A" w:rsidRPr="00296F1C" w:rsidRDefault="005A3E2A" w:rsidP="005A3E2A">
      <w:pPr>
        <w:spacing w:after="0" w:line="241" w:lineRule="atLeast"/>
        <w:jc w:val="left"/>
        <w:rPr>
          <w:rFonts w:eastAsiaTheme="minorHAnsi" w:cs="Arial"/>
          <w:color w:val="auto"/>
        </w:rPr>
      </w:pPr>
    </w:p>
    <w:p w:rsidR="005A3E2A" w:rsidRPr="00296F1C" w:rsidRDefault="005A3E2A" w:rsidP="005A3E2A">
      <w:pPr>
        <w:spacing w:after="0" w:line="241" w:lineRule="atLeast"/>
        <w:jc w:val="left"/>
        <w:rPr>
          <w:rFonts w:eastAsiaTheme="minorHAnsi" w:cs="Arial"/>
          <w:color w:val="auto"/>
        </w:rPr>
      </w:pPr>
      <w:r w:rsidRPr="00296F1C">
        <w:rPr>
          <w:rFonts w:eastAsiaTheme="minorHAnsi" w:cs="Arial"/>
          <w:color w:val="auto"/>
        </w:rPr>
        <w:t xml:space="preserve">Other benefits of the system include: allowing members to view their nominated beneficiaries; access </w:t>
      </w:r>
      <w:r w:rsidR="00033F98">
        <w:rPr>
          <w:rFonts w:eastAsiaTheme="minorHAnsi" w:cs="Arial"/>
          <w:color w:val="auto"/>
        </w:rPr>
        <w:t xml:space="preserve">to </w:t>
      </w:r>
      <w:r w:rsidRPr="00296F1C">
        <w:rPr>
          <w:rFonts w:eastAsiaTheme="minorHAnsi" w:cs="Arial"/>
          <w:color w:val="auto"/>
        </w:rPr>
        <w:t xml:space="preserve">a host of forms and guides and also allows the administration service to communicate with registered members via email. </w:t>
      </w:r>
    </w:p>
    <w:p w:rsidR="005A3E2A" w:rsidRPr="00296F1C" w:rsidRDefault="005A3E2A" w:rsidP="005A3E2A">
      <w:pPr>
        <w:spacing w:after="0" w:line="241" w:lineRule="atLeast"/>
        <w:jc w:val="left"/>
        <w:rPr>
          <w:rFonts w:eastAsiaTheme="minorHAnsi" w:cs="Arial"/>
          <w:color w:val="auto"/>
        </w:rPr>
      </w:pPr>
    </w:p>
    <w:p w:rsidR="005A3E2A" w:rsidRPr="00296F1C" w:rsidRDefault="005A3E2A" w:rsidP="005A3E2A">
      <w:pPr>
        <w:spacing w:after="0" w:line="241" w:lineRule="atLeast"/>
        <w:jc w:val="left"/>
        <w:rPr>
          <w:rFonts w:eastAsiaTheme="minorHAnsi" w:cs="Arial"/>
          <w:color w:val="auto"/>
        </w:rPr>
      </w:pPr>
      <w:r w:rsidRPr="00296F1C">
        <w:rPr>
          <w:rFonts w:eastAsiaTheme="minorHAnsi" w:cs="Arial"/>
          <w:color w:val="auto"/>
        </w:rPr>
        <w:t xml:space="preserve">Currently around 30% of members are registered online. </w:t>
      </w:r>
    </w:p>
    <w:p w:rsidR="005A3E2A" w:rsidRPr="00296F1C" w:rsidRDefault="005A3E2A" w:rsidP="005A3E2A">
      <w:pPr>
        <w:spacing w:after="0" w:line="240" w:lineRule="atLeast"/>
        <w:jc w:val="left"/>
        <w:rPr>
          <w:rFonts w:eastAsiaTheme="minorHAnsi" w:cs="Arial"/>
          <w:b/>
          <w:highlight w:val="yellow"/>
        </w:rPr>
      </w:pPr>
    </w:p>
    <w:p w:rsidR="005A3E2A" w:rsidRPr="00296F1C" w:rsidRDefault="005A3E2A" w:rsidP="005A3E2A">
      <w:pPr>
        <w:spacing w:after="0" w:line="240" w:lineRule="atLeast"/>
        <w:jc w:val="left"/>
        <w:rPr>
          <w:rFonts w:eastAsiaTheme="minorHAnsi" w:cs="Arial"/>
          <w:b/>
        </w:rPr>
      </w:pPr>
      <w:r w:rsidRPr="00296F1C">
        <w:rPr>
          <w:rFonts w:eastAsiaTheme="minorHAnsi" w:cs="Arial"/>
          <w:b/>
        </w:rPr>
        <w:t xml:space="preserve">Appeals  </w:t>
      </w:r>
    </w:p>
    <w:p w:rsidR="005A3E2A" w:rsidRPr="00296F1C" w:rsidRDefault="005A3E2A" w:rsidP="005A3E2A">
      <w:pPr>
        <w:spacing w:line="240" w:lineRule="atLeast"/>
        <w:rPr>
          <w:rFonts w:cs="Arial"/>
          <w:iCs/>
        </w:rPr>
      </w:pPr>
      <w:r w:rsidRPr="00296F1C">
        <w:rPr>
          <w:rFonts w:cs="Arial"/>
          <w:iCs/>
        </w:rPr>
        <w:t xml:space="preserve">Fund Members who disagree with decisions taken by their employer or administering authority may appeal using the Internal Dispute Resolution Procedure (IDRP) under the Local Government Pension Scheme rules. </w:t>
      </w:r>
    </w:p>
    <w:p w:rsidR="005A3E2A" w:rsidRPr="00296F1C" w:rsidRDefault="005A3E2A" w:rsidP="005A3E2A">
      <w:pPr>
        <w:spacing w:line="240" w:lineRule="atLeast"/>
        <w:rPr>
          <w:rFonts w:eastAsiaTheme="minorHAnsi" w:cs="Arial"/>
          <w:iCs/>
          <w:color w:val="auto"/>
        </w:rPr>
      </w:pPr>
      <w:r w:rsidRPr="00296F1C">
        <w:rPr>
          <w:rFonts w:cs="Arial"/>
          <w:iCs/>
        </w:rPr>
        <w:t xml:space="preserve">The IDRP is a formal appeal procedure which contains two stages. The first stage allows the person to ask the body who originally made the decision to review it, i.e. either the employer or the administering authority. The second stage allows the person, if they are not satisfied with the outcome at the first stage, to ask the Appeals Officer appointed by the administering authority to review the disagreement. </w:t>
      </w:r>
    </w:p>
    <w:p w:rsidR="005A3E2A" w:rsidRPr="00296F1C" w:rsidRDefault="005A3E2A" w:rsidP="005A3E2A">
      <w:pPr>
        <w:rPr>
          <w:rFonts w:cs="Arial"/>
          <w:iCs/>
        </w:rPr>
      </w:pPr>
      <w:r w:rsidRPr="00296F1C">
        <w:rPr>
          <w:rFonts w:cs="Arial"/>
          <w:iCs/>
        </w:rPr>
        <w:t>Over the year 18 appeals have been received under stage 1 of the process. Of these 1 ha</w:t>
      </w:r>
      <w:r w:rsidR="00033F98">
        <w:rPr>
          <w:rFonts w:cs="Arial"/>
          <w:iCs/>
        </w:rPr>
        <w:t>s</w:t>
      </w:r>
      <w:r w:rsidRPr="00296F1C">
        <w:rPr>
          <w:rFonts w:cs="Arial"/>
          <w:iCs/>
        </w:rPr>
        <w:t xml:space="preserve"> been upheld in the members favour and 10 were dismissed. At the close of the year 7 stage 1 cases were outstanding.</w:t>
      </w:r>
    </w:p>
    <w:p w:rsidR="005A3E2A" w:rsidRDefault="005A3E2A" w:rsidP="005A3E2A">
      <w:pPr>
        <w:rPr>
          <w:rFonts w:cs="Arial"/>
          <w:iCs/>
        </w:rPr>
      </w:pPr>
      <w:r w:rsidRPr="00B85FB8">
        <w:rPr>
          <w:rFonts w:cs="Arial"/>
          <w:iCs/>
        </w:rPr>
        <w:t xml:space="preserve">In respect of appeal applications that progressed to stage 2 of the IDRP, 8 appeals have been received. Of these 4 have been upheld in the members favour and 4 were dismissed. </w:t>
      </w:r>
    </w:p>
    <w:p w:rsidR="005A3E2A" w:rsidRPr="00296F1C" w:rsidRDefault="005A3E2A" w:rsidP="005A3E2A">
      <w:pPr>
        <w:rPr>
          <w:rFonts w:cs="Arial"/>
          <w:iCs/>
        </w:rPr>
      </w:pPr>
      <w:r w:rsidRPr="00296F1C">
        <w:rPr>
          <w:rFonts w:cs="Arial"/>
          <w:iCs/>
        </w:rPr>
        <w:t xml:space="preserve">As in previous years the majority of appeals continue to relate to ill health. </w:t>
      </w:r>
    </w:p>
    <w:p w:rsidR="005A3E2A" w:rsidRPr="00296F1C" w:rsidRDefault="005A3E2A" w:rsidP="005A3E2A">
      <w:pPr>
        <w:autoSpaceDE/>
        <w:autoSpaceDN/>
        <w:adjustRightInd/>
        <w:spacing w:after="0"/>
        <w:jc w:val="left"/>
        <w:rPr>
          <w:rFonts w:cs="Arial"/>
          <w:highlight w:val="yellow"/>
        </w:rPr>
      </w:pPr>
    </w:p>
    <w:p w:rsidR="005A3E2A" w:rsidRPr="00296F1C" w:rsidRDefault="005A3E2A" w:rsidP="005A3E2A">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Charges</w:t>
      </w:r>
    </w:p>
    <w:p w:rsidR="005A3E2A" w:rsidRPr="00296F1C" w:rsidRDefault="005A3E2A" w:rsidP="005A3E2A">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Charges are on a per member basis.  The on-going level of charge to the Fund is kept under review.</w:t>
      </w:r>
    </w:p>
    <w:p w:rsidR="005A3E2A" w:rsidRPr="00296F1C" w:rsidRDefault="005A3E2A" w:rsidP="005A3E2A">
      <w:pPr>
        <w:rPr>
          <w:rFonts w:cs="Arial"/>
          <w:highlight w:val="yellow"/>
        </w:rPr>
      </w:pPr>
    </w:p>
    <w:p w:rsidR="005A3E2A" w:rsidRPr="00296F1C" w:rsidRDefault="005A3E2A" w:rsidP="005A3E2A">
      <w:pPr>
        <w:spacing w:after="0"/>
        <w:rPr>
          <w:rFonts w:eastAsia="Times New Roman" w:cs="Arial"/>
          <w:b/>
          <w:lang w:eastAsia="en-GB"/>
        </w:rPr>
      </w:pPr>
      <w:r w:rsidRPr="00296F1C">
        <w:rPr>
          <w:rFonts w:eastAsia="Times New Roman" w:cs="Arial"/>
          <w:b/>
          <w:lang w:eastAsia="en-GB"/>
        </w:rPr>
        <w:t>Other information</w:t>
      </w:r>
    </w:p>
    <w:p w:rsidR="005A3E2A" w:rsidRDefault="005A3E2A" w:rsidP="005A3E2A">
      <w:pPr>
        <w:spacing w:after="0"/>
        <w:rPr>
          <w:rFonts w:eastAsia="Times New Roman" w:cs="Arial"/>
          <w:lang w:eastAsia="en-GB"/>
        </w:rPr>
      </w:pPr>
      <w:r w:rsidRPr="00296F1C">
        <w:rPr>
          <w:rFonts w:eastAsia="Times New Roman" w:cs="Arial"/>
          <w:lang w:eastAsia="en-GB"/>
        </w:rPr>
        <w:t xml:space="preserve">For further information relating to the administration of the scheme please refer to the </w:t>
      </w:r>
      <w:hyperlink r:id="rId13" w:history="1">
        <w:r w:rsidRPr="00296F1C">
          <w:rPr>
            <w:rFonts w:eastAsia="Times New Roman" w:cs="Arial"/>
            <w:color w:val="0000FF"/>
            <w:u w:val="single"/>
            <w:lang w:eastAsia="en-GB"/>
          </w:rPr>
          <w:t>Communication Policy Statement</w:t>
        </w:r>
      </w:hyperlink>
      <w:r w:rsidRPr="00296F1C">
        <w:rPr>
          <w:rFonts w:eastAsia="Times New Roman" w:cs="Arial"/>
          <w:lang w:eastAsia="en-GB"/>
        </w:rPr>
        <w:t xml:space="preserve"> and the </w:t>
      </w:r>
      <w:hyperlink r:id="rId14" w:history="1">
        <w:r w:rsidRPr="00296F1C">
          <w:rPr>
            <w:rFonts w:eastAsia="Times New Roman" w:cs="Arial"/>
            <w:color w:val="0000FF"/>
            <w:u w:val="single"/>
            <w:lang w:eastAsia="en-GB"/>
          </w:rPr>
          <w:t>Pensions Administration Strategy Statement</w:t>
        </w:r>
      </w:hyperlink>
      <w:r w:rsidRPr="00296F1C">
        <w:rPr>
          <w:rFonts w:eastAsia="Times New Roman" w:cs="Arial"/>
          <w:lang w:eastAsia="en-GB"/>
        </w:rPr>
        <w:t xml:space="preserve"> included as Appendices 3 and 4 respectively.</w:t>
      </w:r>
    </w:p>
    <w:p w:rsidR="00894242" w:rsidRDefault="00894242" w:rsidP="005A3E2A">
      <w:pPr>
        <w:spacing w:after="0"/>
        <w:rPr>
          <w:rFonts w:eastAsia="Times New Roman" w:cs="Arial"/>
          <w:lang w:eastAsia="en-GB"/>
        </w:rPr>
      </w:pPr>
    </w:p>
    <w:p w:rsidR="00894242" w:rsidRPr="00296F1C" w:rsidRDefault="00894242" w:rsidP="005A3E2A">
      <w:pPr>
        <w:spacing w:after="0"/>
        <w:rPr>
          <w:rFonts w:eastAsia="Times New Roman" w:cs="Arial"/>
          <w:lang w:eastAsia="en-GB"/>
        </w:rPr>
      </w:pPr>
    </w:p>
    <w:p w:rsidR="005A3E2A" w:rsidRPr="00296F1C" w:rsidRDefault="005A3E2A" w:rsidP="005A3E2A">
      <w:pPr>
        <w:autoSpaceDE/>
        <w:autoSpaceDN/>
        <w:adjustRightInd/>
        <w:spacing w:after="0"/>
        <w:jc w:val="left"/>
        <w:rPr>
          <w:rFonts w:eastAsia="Times New Roman" w:cs="Arial"/>
          <w:color w:val="auto"/>
          <w:lang w:eastAsia="en-GB"/>
        </w:rPr>
      </w:pPr>
    </w:p>
    <w:p w:rsidR="00FF6F6A" w:rsidRDefault="0023599A" w:rsidP="00FF6F6A">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t>E  Knowledge &amp; Skills Framework</w:t>
      </w:r>
    </w:p>
    <w:p w:rsidR="00FF6F6A" w:rsidRPr="006B72A4" w:rsidRDefault="00FF6F6A" w:rsidP="00FF6F6A">
      <w:pPr>
        <w:autoSpaceDE/>
        <w:autoSpaceDN/>
        <w:adjustRightInd/>
        <w:spacing w:after="0"/>
        <w:ind w:left="360"/>
        <w:jc w:val="left"/>
        <w:rPr>
          <w:rFonts w:eastAsia="Times New Roman" w:cs="Times New Roman"/>
          <w:b/>
          <w:snapToGrid w:val="0"/>
          <w:color w:val="auto"/>
          <w:sz w:val="28"/>
          <w:szCs w:val="28"/>
          <w:highlight w:val="yellow"/>
        </w:rPr>
      </w:pPr>
    </w:p>
    <w:p w:rsidR="00FF6F6A" w:rsidRPr="000B10DD" w:rsidRDefault="0023599A" w:rsidP="00FF6F6A">
      <w:pPr>
        <w:autoSpaceDE/>
        <w:autoSpaceDN/>
        <w:adjustRightInd/>
        <w:spacing w:after="0"/>
        <w:jc w:val="left"/>
        <w:rPr>
          <w:rFonts w:eastAsia="Times New Roman" w:cs="Arial"/>
          <w:color w:val="auto"/>
          <w:lang w:eastAsia="en-GB"/>
        </w:rPr>
      </w:pPr>
      <w:r w:rsidRPr="000B10DD">
        <w:rPr>
          <w:rFonts w:eastAsia="Times New Roman" w:cs="Arial"/>
          <w:snapToGrid w:val="0"/>
          <w:color w:val="auto"/>
        </w:rPr>
        <w:t xml:space="preserve">There is a requirement for all those </w:t>
      </w:r>
      <w:r w:rsidRPr="000B10DD">
        <w:rPr>
          <w:rFonts w:eastAsia="Times New Roman" w:cs="Arial"/>
          <w:color w:val="auto"/>
          <w:lang w:eastAsia="en-GB"/>
        </w:rPr>
        <w:t xml:space="preserve">involved in the management and oversight of public sector pension funds (whether members or officers) to ensure they achieve the level of knowledge and skill necessary for performing their duties and responsibilities effectively. </w:t>
      </w:r>
    </w:p>
    <w:p w:rsidR="00FF6F6A" w:rsidRPr="000B10DD" w:rsidRDefault="00FF6F6A" w:rsidP="00FF6F6A">
      <w:pPr>
        <w:autoSpaceDE/>
        <w:autoSpaceDN/>
        <w:adjustRightInd/>
        <w:spacing w:after="0"/>
        <w:jc w:val="left"/>
        <w:rPr>
          <w:rFonts w:eastAsia="Times New Roman" w:cs="Arial"/>
          <w:color w:val="auto"/>
          <w:lang w:eastAsia="en-GB"/>
        </w:rPr>
      </w:pPr>
    </w:p>
    <w:p w:rsidR="00FF6F6A" w:rsidRPr="00016FC1" w:rsidRDefault="0023599A" w:rsidP="00FF6F6A">
      <w:pPr>
        <w:autoSpaceDE/>
        <w:autoSpaceDN/>
        <w:adjustRightInd/>
        <w:spacing w:after="0"/>
        <w:jc w:val="left"/>
        <w:rPr>
          <w:rFonts w:eastAsia="Times New Roman" w:cs="Arial"/>
          <w:b/>
          <w:snapToGrid w:val="0"/>
          <w:color w:val="auto"/>
          <w:sz w:val="28"/>
          <w:szCs w:val="28"/>
        </w:rPr>
      </w:pPr>
      <w:r w:rsidRPr="00016FC1">
        <w:rPr>
          <w:rFonts w:eastAsia="Times New Roman" w:cs="Arial"/>
          <w:b/>
          <w:snapToGrid w:val="0"/>
          <w:color w:val="auto"/>
          <w:sz w:val="28"/>
          <w:szCs w:val="28"/>
        </w:rPr>
        <w:t>CIPFA Pensions Finance Knowledge and Skills Framework</w:t>
      </w:r>
    </w:p>
    <w:p w:rsidR="00FF6F6A" w:rsidRDefault="00FF6F6A" w:rsidP="00FF6F6A">
      <w:pPr>
        <w:spacing w:after="0"/>
        <w:jc w:val="left"/>
        <w:rPr>
          <w:rFonts w:eastAsiaTheme="minorHAnsi" w:cs="Arial"/>
          <w:color w:val="auto"/>
        </w:rPr>
      </w:pPr>
    </w:p>
    <w:p w:rsidR="00FF6F6A" w:rsidRDefault="0023599A" w:rsidP="00FF6F6A">
      <w:pPr>
        <w:spacing w:after="0"/>
        <w:jc w:val="left"/>
        <w:rPr>
          <w:rFonts w:eastAsia="Times New Roman" w:cs="Arial"/>
          <w:color w:val="auto"/>
          <w:lang w:eastAsia="en-GB"/>
        </w:rPr>
      </w:pPr>
      <w:r w:rsidRPr="000B10DD">
        <w:rPr>
          <w:rFonts w:eastAsiaTheme="minorHAnsi" w:cs="Arial"/>
          <w:color w:val="auto"/>
        </w:rPr>
        <w:t>The</w:t>
      </w:r>
      <w:r w:rsidRPr="000B10DD">
        <w:rPr>
          <w:rFonts w:eastAsia="Times New Roman" w:cs="Arial"/>
          <w:color w:val="auto"/>
          <w:lang w:eastAsia="en-GB"/>
        </w:rPr>
        <w:t xml:space="preserve"> Chartered Institute of Public Finance and Accountancy (CIPFA) first published a code of practice on public sector pensions finance knowledge and skills in October 2011 </w:t>
      </w:r>
      <w:r>
        <w:rPr>
          <w:rFonts w:eastAsia="Times New Roman" w:cs="Arial"/>
          <w:color w:val="auto"/>
          <w:lang w:eastAsia="en-GB"/>
        </w:rPr>
        <w:t xml:space="preserve">which </w:t>
      </w:r>
      <w:r w:rsidRPr="000B10DD">
        <w:rPr>
          <w:rFonts w:eastAsia="Times New Roman" w:cs="Arial"/>
          <w:color w:val="auto"/>
          <w:lang w:eastAsia="en-GB"/>
        </w:rPr>
        <w:t>was revised in 2013 to reflect the provisions of the Public Service Pensions Act 2013 and remains a definitive guide to expected standards.</w:t>
      </w:r>
    </w:p>
    <w:p w:rsidR="00FF6F6A" w:rsidRDefault="00FF6F6A" w:rsidP="00FF6F6A">
      <w:pPr>
        <w:spacing w:after="0"/>
        <w:jc w:val="left"/>
        <w:rPr>
          <w:rFonts w:eastAsia="Times New Roman" w:cs="Arial"/>
          <w:color w:val="auto"/>
          <w:lang w:eastAsia="en-GB"/>
        </w:rPr>
      </w:pPr>
    </w:p>
    <w:p w:rsidR="00FF6F6A" w:rsidRPr="000B10DD" w:rsidRDefault="0023599A" w:rsidP="00FF6F6A">
      <w:pPr>
        <w:spacing w:after="0"/>
        <w:jc w:val="left"/>
        <w:rPr>
          <w:rFonts w:eastAsia="Times New Roman" w:cs="Arial"/>
          <w:color w:val="auto"/>
          <w:lang w:eastAsia="en-GB"/>
        </w:rPr>
      </w:pPr>
      <w:r w:rsidRPr="000B10DD">
        <w:rPr>
          <w:rFonts w:eastAsia="Times New Roman" w:cs="Arial"/>
          <w:color w:val="auto"/>
          <w:lang w:eastAsia="en-GB"/>
        </w:rPr>
        <w:t xml:space="preserve">The Code of Practice works in conjunction with detailed Knowledge and Skills Frameworks (KSF) also published by CIPFA which support knowledge and skills development by all those involved in the management and oversight of public sector pension funds. </w:t>
      </w:r>
    </w:p>
    <w:p w:rsidR="00FF6F6A" w:rsidRPr="000B10DD" w:rsidRDefault="00FF6F6A" w:rsidP="00FF6F6A">
      <w:pPr>
        <w:spacing w:after="0"/>
        <w:jc w:val="left"/>
        <w:rPr>
          <w:rFonts w:eastAsia="Times New Roman" w:cs="Arial"/>
          <w:color w:val="auto"/>
          <w:lang w:eastAsia="en-GB"/>
        </w:rPr>
      </w:pPr>
    </w:p>
    <w:p w:rsidR="00FF6F6A" w:rsidRPr="000B10DD" w:rsidRDefault="0023599A" w:rsidP="00FF6F6A">
      <w:pPr>
        <w:spacing w:after="0"/>
        <w:jc w:val="left"/>
        <w:rPr>
          <w:rFonts w:eastAsia="Times New Roman" w:cs="Arial"/>
          <w:color w:val="auto"/>
          <w:lang w:eastAsia="en-GB"/>
        </w:rPr>
      </w:pPr>
      <w:r>
        <w:rPr>
          <w:rFonts w:eastAsia="Times New Roman" w:cs="Arial"/>
          <w:color w:val="auto"/>
          <w:lang w:eastAsia="en-GB"/>
        </w:rPr>
        <w:t>In</w:t>
      </w:r>
      <w:r w:rsidRPr="000B10DD">
        <w:rPr>
          <w:rFonts w:eastAsia="Times New Roman" w:cs="Arial"/>
          <w:color w:val="auto"/>
          <w:lang w:eastAsia="en-GB"/>
        </w:rPr>
        <w:t xml:space="preserve"> 2015 a new KSF focussed on the </w:t>
      </w:r>
      <w:r w:rsidRPr="000B10DD">
        <w:rPr>
          <w:rFonts w:cs="Arial"/>
        </w:rPr>
        <w:t xml:space="preserve">knowledge </w:t>
      </w:r>
      <w:r w:rsidRPr="000B10DD">
        <w:rPr>
          <w:rFonts w:eastAsia="Times New Roman" w:cs="Arial"/>
          <w:color w:val="auto"/>
          <w:lang w:eastAsia="en-GB"/>
        </w:rPr>
        <w:t>requirements of</w:t>
      </w:r>
      <w:r w:rsidRPr="000B10DD">
        <w:rPr>
          <w:rFonts w:cs="Arial"/>
        </w:rPr>
        <w:t xml:space="preserve"> </w:t>
      </w:r>
      <w:r w:rsidRPr="000B10DD">
        <w:rPr>
          <w:rFonts w:eastAsia="Times New Roman" w:cs="Arial"/>
          <w:color w:val="auto"/>
          <w:lang w:eastAsia="en-GB"/>
        </w:rPr>
        <w:t xml:space="preserve">Local Pension Board members </w:t>
      </w:r>
      <w:r>
        <w:rPr>
          <w:rFonts w:eastAsia="Times New Roman" w:cs="Arial"/>
          <w:color w:val="auto"/>
          <w:lang w:eastAsia="en-GB"/>
        </w:rPr>
        <w:t>w</w:t>
      </w:r>
      <w:r w:rsidRPr="000B10DD">
        <w:rPr>
          <w:rFonts w:eastAsia="Times New Roman" w:cs="Arial"/>
          <w:color w:val="auto"/>
          <w:lang w:eastAsia="en-GB"/>
        </w:rPr>
        <w:t xml:space="preserve">as introduced </w:t>
      </w:r>
      <w:r>
        <w:rPr>
          <w:rFonts w:eastAsia="Times New Roman" w:cs="Arial"/>
          <w:color w:val="auto"/>
          <w:lang w:eastAsia="en-GB"/>
        </w:rPr>
        <w:t xml:space="preserve">to </w:t>
      </w:r>
      <w:r w:rsidRPr="000B10DD">
        <w:rPr>
          <w:rFonts w:eastAsia="Times New Roman" w:cs="Arial"/>
          <w:color w:val="auto"/>
          <w:lang w:eastAsia="en-GB"/>
        </w:rPr>
        <w:t xml:space="preserve">reflect </w:t>
      </w:r>
      <w:r w:rsidRPr="000B10DD">
        <w:rPr>
          <w:rFonts w:cs="Arial"/>
        </w:rPr>
        <w:t>the Pensions Regulator Code of Practice No 14 which came into force in April 2015.</w:t>
      </w:r>
      <w:r>
        <w:rPr>
          <w:rFonts w:cs="Arial"/>
        </w:rPr>
        <w:t xml:space="preserve"> </w:t>
      </w:r>
      <w:r w:rsidRPr="000B10DD">
        <w:rPr>
          <w:rFonts w:cs="Arial"/>
          <w:iCs/>
        </w:rPr>
        <w:t>CIPFA</w:t>
      </w:r>
      <w:r w:rsidRPr="000B10DD">
        <w:rPr>
          <w:rFonts w:cs="Arial"/>
        </w:rPr>
        <w:t xml:space="preserve"> </w:t>
      </w:r>
      <w:r w:rsidRPr="000B10DD">
        <w:rPr>
          <w:rFonts w:cs="Arial"/>
          <w:iCs/>
        </w:rPr>
        <w:t xml:space="preserve">has </w:t>
      </w:r>
      <w:r w:rsidRPr="000B10DD">
        <w:rPr>
          <w:rFonts w:cs="Arial"/>
        </w:rPr>
        <w:t xml:space="preserve">identified a syllabus of 8 core areas of knowledge across </w:t>
      </w:r>
      <w:r w:rsidRPr="000B10DD">
        <w:rPr>
          <w:rFonts w:cs="Arial"/>
          <w:iCs/>
        </w:rPr>
        <w:t>the KSFs it has published to date</w:t>
      </w:r>
      <w:r w:rsidRPr="000B10DD">
        <w:rPr>
          <w:rFonts w:cs="Arial"/>
        </w:rPr>
        <w:t>:</w:t>
      </w:r>
    </w:p>
    <w:p w:rsidR="00FF6F6A" w:rsidRPr="000B10DD" w:rsidRDefault="00FF6F6A" w:rsidP="00FF6F6A">
      <w:pPr>
        <w:spacing w:after="0"/>
        <w:ind w:right="656"/>
        <w:jc w:val="left"/>
        <w:rPr>
          <w:rFonts w:eastAsia="Cambria" w:cs="Arial"/>
          <w:lang w:eastAsia="en-GB"/>
        </w:rPr>
      </w:pPr>
    </w:p>
    <w:p w:rsidR="00FF6F6A" w:rsidRPr="000B10DD" w:rsidRDefault="0023599A" w:rsidP="00F91786">
      <w:pPr>
        <w:numPr>
          <w:ilvl w:val="0"/>
          <w:numId w:val="18"/>
        </w:numPr>
        <w:spacing w:after="0"/>
        <w:ind w:left="360"/>
        <w:jc w:val="left"/>
        <w:rPr>
          <w:rFonts w:eastAsia="Cambria" w:cs="Arial"/>
          <w:lang w:eastAsia="en-GB"/>
        </w:rPr>
      </w:pPr>
      <w:r w:rsidRPr="000B10DD">
        <w:rPr>
          <w:rFonts w:eastAsia="Cambria" w:cs="Arial"/>
          <w:lang w:eastAsia="en-GB"/>
        </w:rPr>
        <w:t xml:space="preserve">pensions legislation; </w:t>
      </w:r>
    </w:p>
    <w:p w:rsidR="00FF6F6A" w:rsidRPr="000B10DD" w:rsidRDefault="0023599A" w:rsidP="00F91786">
      <w:pPr>
        <w:numPr>
          <w:ilvl w:val="0"/>
          <w:numId w:val="18"/>
        </w:numPr>
        <w:spacing w:after="0"/>
        <w:ind w:left="360"/>
        <w:jc w:val="left"/>
        <w:rPr>
          <w:rFonts w:eastAsia="Cambria" w:cs="Arial"/>
          <w:lang w:eastAsia="en-GB"/>
        </w:rPr>
      </w:pPr>
      <w:r w:rsidRPr="000B10DD">
        <w:rPr>
          <w:rFonts w:eastAsia="Cambria" w:cs="Arial"/>
          <w:lang w:eastAsia="en-GB"/>
        </w:rPr>
        <w:t xml:space="preserve">public sector pensions governance; </w:t>
      </w:r>
    </w:p>
    <w:p w:rsidR="00FF6F6A" w:rsidRPr="000B10DD" w:rsidRDefault="0023599A" w:rsidP="00F91786">
      <w:pPr>
        <w:numPr>
          <w:ilvl w:val="0"/>
          <w:numId w:val="18"/>
        </w:numPr>
        <w:spacing w:after="0"/>
        <w:ind w:left="360"/>
        <w:jc w:val="left"/>
        <w:rPr>
          <w:rFonts w:eastAsia="Cambria" w:cs="Arial"/>
          <w:lang w:eastAsia="en-GB"/>
        </w:rPr>
      </w:pPr>
      <w:r w:rsidRPr="000B10DD">
        <w:rPr>
          <w:rFonts w:eastAsia="Cambria" w:cs="Arial"/>
          <w:lang w:eastAsia="en-GB"/>
        </w:rPr>
        <w:t xml:space="preserve">pensions administration; </w:t>
      </w:r>
    </w:p>
    <w:p w:rsidR="00FF6F6A" w:rsidRPr="000B10DD" w:rsidRDefault="0023599A" w:rsidP="00F91786">
      <w:pPr>
        <w:numPr>
          <w:ilvl w:val="0"/>
          <w:numId w:val="18"/>
        </w:numPr>
        <w:spacing w:after="0"/>
        <w:ind w:left="360"/>
        <w:jc w:val="left"/>
        <w:rPr>
          <w:rFonts w:eastAsia="Cambria" w:cs="Arial"/>
          <w:lang w:eastAsia="en-GB"/>
        </w:rPr>
      </w:pPr>
      <w:r w:rsidRPr="000B10DD">
        <w:rPr>
          <w:rFonts w:eastAsia="Cambria" w:cs="Arial"/>
          <w:lang w:eastAsia="en-GB"/>
        </w:rPr>
        <w:t xml:space="preserve">pensions accounting and auditing standards; </w:t>
      </w:r>
    </w:p>
    <w:p w:rsidR="00FF6F6A" w:rsidRPr="000B10DD" w:rsidRDefault="0023599A" w:rsidP="00F91786">
      <w:pPr>
        <w:numPr>
          <w:ilvl w:val="0"/>
          <w:numId w:val="18"/>
        </w:numPr>
        <w:spacing w:after="0"/>
        <w:ind w:left="360"/>
        <w:jc w:val="left"/>
        <w:rPr>
          <w:rFonts w:eastAsia="Cambria" w:cs="Arial"/>
          <w:lang w:eastAsia="en-GB"/>
        </w:rPr>
      </w:pPr>
      <w:r w:rsidRPr="000B10DD">
        <w:rPr>
          <w:rFonts w:eastAsia="Cambria" w:cs="Arial"/>
          <w:lang w:eastAsia="en-GB"/>
        </w:rPr>
        <w:t xml:space="preserve">financial services procurement and relationship management; </w:t>
      </w:r>
    </w:p>
    <w:p w:rsidR="00FF6F6A" w:rsidRPr="000B10DD" w:rsidRDefault="0023599A" w:rsidP="00F91786">
      <w:pPr>
        <w:numPr>
          <w:ilvl w:val="0"/>
          <w:numId w:val="18"/>
        </w:numPr>
        <w:spacing w:after="0"/>
        <w:ind w:left="360"/>
        <w:jc w:val="left"/>
        <w:rPr>
          <w:rFonts w:eastAsia="Cambria" w:cs="Arial"/>
          <w:lang w:eastAsia="en-GB"/>
        </w:rPr>
      </w:pPr>
      <w:r w:rsidRPr="000B10DD">
        <w:rPr>
          <w:rFonts w:eastAsia="Cambria" w:cs="Arial"/>
          <w:lang w:eastAsia="en-GB"/>
        </w:rPr>
        <w:t xml:space="preserve">investment performance and risk management; </w:t>
      </w:r>
    </w:p>
    <w:p w:rsidR="00FF6F6A" w:rsidRPr="000B10DD" w:rsidRDefault="0023599A" w:rsidP="00F91786">
      <w:pPr>
        <w:numPr>
          <w:ilvl w:val="0"/>
          <w:numId w:val="18"/>
        </w:numPr>
        <w:spacing w:after="0"/>
        <w:ind w:left="360"/>
        <w:jc w:val="left"/>
        <w:rPr>
          <w:rFonts w:eastAsia="Cambria" w:cs="Arial"/>
          <w:lang w:eastAsia="en-GB"/>
        </w:rPr>
      </w:pPr>
      <w:r w:rsidRPr="000B10DD">
        <w:rPr>
          <w:rFonts w:eastAsia="Cambria" w:cs="Arial"/>
          <w:lang w:eastAsia="en-GB"/>
        </w:rPr>
        <w:t xml:space="preserve">financial markets and product knowledge; </w:t>
      </w:r>
    </w:p>
    <w:p w:rsidR="00FF6F6A" w:rsidRPr="000B10DD" w:rsidRDefault="0023599A" w:rsidP="00F91786">
      <w:pPr>
        <w:numPr>
          <w:ilvl w:val="0"/>
          <w:numId w:val="18"/>
        </w:numPr>
        <w:spacing w:after="0"/>
        <w:ind w:left="360"/>
        <w:jc w:val="left"/>
        <w:rPr>
          <w:rFonts w:eastAsia="Cambria" w:cs="Arial"/>
          <w:lang w:eastAsia="en-GB"/>
        </w:rPr>
      </w:pPr>
      <w:r w:rsidRPr="000B10DD">
        <w:rPr>
          <w:rFonts w:eastAsia="Cambria" w:cs="Arial"/>
          <w:lang w:eastAsia="en-GB"/>
        </w:rPr>
        <w:t xml:space="preserve">actuarial methods, standards and practices. </w:t>
      </w:r>
    </w:p>
    <w:p w:rsidR="00FF6F6A" w:rsidRPr="00AB648B" w:rsidRDefault="00FF6F6A" w:rsidP="00FF6F6A">
      <w:pPr>
        <w:autoSpaceDE/>
        <w:autoSpaceDN/>
        <w:adjustRightInd/>
        <w:spacing w:after="0"/>
        <w:jc w:val="left"/>
        <w:rPr>
          <w:rFonts w:eastAsia="Times New Roman" w:cs="Arial"/>
          <w:b/>
          <w:snapToGrid w:val="0"/>
          <w:color w:val="auto"/>
        </w:rPr>
      </w:pPr>
    </w:p>
    <w:p w:rsidR="00FF6F6A" w:rsidRPr="00AB648B" w:rsidRDefault="00FF6F6A" w:rsidP="00FF6F6A">
      <w:pPr>
        <w:autoSpaceDE/>
        <w:autoSpaceDN/>
        <w:adjustRightInd/>
        <w:spacing w:after="0"/>
        <w:jc w:val="left"/>
        <w:rPr>
          <w:rFonts w:eastAsia="Times New Roman" w:cs="Arial"/>
          <w:color w:val="auto"/>
          <w:szCs w:val="20"/>
          <w:lang w:eastAsia="en-GB"/>
        </w:rPr>
      </w:pPr>
    </w:p>
    <w:p w:rsidR="00FF6F6A" w:rsidRDefault="0023599A" w:rsidP="00FF6F6A">
      <w:pPr>
        <w:spacing w:after="0"/>
        <w:jc w:val="left"/>
        <w:rPr>
          <w:rFonts w:eastAsia="Times New Roman" w:cs="Arial"/>
          <w:b/>
          <w:color w:val="auto"/>
          <w:sz w:val="28"/>
          <w:szCs w:val="28"/>
          <w:lang w:eastAsia="en-GB"/>
        </w:rPr>
      </w:pPr>
      <w:r>
        <w:rPr>
          <w:rFonts w:eastAsia="Times New Roman" w:cs="Arial"/>
          <w:b/>
          <w:color w:val="auto"/>
          <w:sz w:val="28"/>
          <w:szCs w:val="28"/>
          <w:lang w:eastAsia="en-GB"/>
        </w:rPr>
        <w:t>Training a</w:t>
      </w:r>
      <w:r w:rsidRPr="00016FC1">
        <w:rPr>
          <w:rFonts w:eastAsia="Times New Roman" w:cs="Arial"/>
          <w:b/>
          <w:color w:val="auto"/>
          <w:sz w:val="28"/>
          <w:szCs w:val="28"/>
          <w:lang w:eastAsia="en-GB"/>
        </w:rPr>
        <w:t>pproach</w:t>
      </w:r>
    </w:p>
    <w:p w:rsidR="00FF6F6A" w:rsidRPr="00AB648B" w:rsidRDefault="00FF6F6A" w:rsidP="00FF6F6A">
      <w:pPr>
        <w:spacing w:after="0"/>
        <w:jc w:val="left"/>
        <w:rPr>
          <w:rFonts w:eastAsia="Times New Roman" w:cs="Arial"/>
          <w:b/>
          <w:color w:val="auto"/>
          <w:lang w:eastAsia="en-GB"/>
        </w:rPr>
      </w:pPr>
    </w:p>
    <w:p w:rsidR="00FF6F6A" w:rsidRPr="000B10DD" w:rsidRDefault="0023599A" w:rsidP="00FF6F6A">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 xml:space="preserve">Since its adoption of the CIPFA Code of Practice in February 2012 the Pension Fund Committee has reviewed the Fund's training approach </w:t>
      </w:r>
      <w:r w:rsidRPr="000B10DD">
        <w:rPr>
          <w:rFonts w:eastAsia="Times New Roman" w:cs="Arial"/>
          <w:color w:val="auto"/>
          <w:lang w:val="en-US" w:eastAsia="en-GB"/>
        </w:rPr>
        <w:t>at regular intervals</w:t>
      </w:r>
      <w:r w:rsidRPr="000B10DD">
        <w:rPr>
          <w:rFonts w:eastAsia="Times New Roman" w:cs="Arial"/>
          <w:color w:val="auto"/>
          <w:lang w:eastAsia="en-GB"/>
        </w:rPr>
        <w:t xml:space="preserve">. </w:t>
      </w:r>
      <w:r>
        <w:rPr>
          <w:rFonts w:eastAsia="Times New Roman" w:cs="Arial"/>
          <w:color w:val="auto"/>
          <w:lang w:eastAsia="en-GB"/>
        </w:rPr>
        <w:t xml:space="preserve">The current </w:t>
      </w:r>
      <w:r w:rsidRPr="000B10DD">
        <w:rPr>
          <w:rFonts w:eastAsia="Times New Roman" w:cs="Arial"/>
          <w:color w:val="auto"/>
          <w:lang w:eastAsia="en-GB"/>
        </w:rPr>
        <w:t xml:space="preserve">Training Policy for the Fund </w:t>
      </w:r>
      <w:r>
        <w:rPr>
          <w:rFonts w:eastAsia="Times New Roman" w:cs="Arial"/>
          <w:color w:val="auto"/>
          <w:lang w:eastAsia="en-GB"/>
        </w:rPr>
        <w:t xml:space="preserve">is </w:t>
      </w:r>
      <w:r w:rsidRPr="000B10DD">
        <w:rPr>
          <w:rFonts w:eastAsia="Times New Roman" w:cs="Arial"/>
          <w:color w:val="auto"/>
          <w:lang w:eastAsia="en-GB"/>
        </w:rPr>
        <w:t xml:space="preserve">aimed at </w:t>
      </w:r>
      <w:r w:rsidRPr="000B10DD">
        <w:rPr>
          <w:rFonts w:cs="Arial"/>
        </w:rPr>
        <w:t>ensuring the Fund is overseen by individuals who:</w:t>
      </w:r>
    </w:p>
    <w:p w:rsidR="00FF6F6A" w:rsidRPr="000B10DD" w:rsidRDefault="00FF6F6A" w:rsidP="00FF6F6A">
      <w:pPr>
        <w:spacing w:after="0"/>
        <w:ind w:right="656"/>
        <w:jc w:val="left"/>
        <w:rPr>
          <w:rFonts w:eastAsia="Cambria" w:cs="Arial"/>
          <w:lang w:eastAsia="en-GB"/>
        </w:rPr>
      </w:pPr>
    </w:p>
    <w:p w:rsidR="00FF6F6A" w:rsidRPr="000B10DD" w:rsidRDefault="0023599A" w:rsidP="00F91786">
      <w:pPr>
        <w:numPr>
          <w:ilvl w:val="0"/>
          <w:numId w:val="19"/>
        </w:numPr>
        <w:spacing w:after="0"/>
        <w:ind w:right="656" w:hanging="720"/>
        <w:jc w:val="left"/>
        <w:rPr>
          <w:rFonts w:eastAsia="Cambria" w:cs="Arial"/>
          <w:lang w:eastAsia="en-GB"/>
        </w:rPr>
      </w:pPr>
      <w:r w:rsidRPr="000B10DD">
        <w:rPr>
          <w:rFonts w:cs="Arial"/>
        </w:rPr>
        <w:t>have appropriate levels of knowledge and skill;</w:t>
      </w:r>
      <w:r w:rsidRPr="000B10DD">
        <w:rPr>
          <w:rFonts w:eastAsia="Cambria" w:cs="Arial"/>
          <w:lang w:eastAsia="en-GB"/>
        </w:rPr>
        <w:t xml:space="preserve"> </w:t>
      </w:r>
    </w:p>
    <w:p w:rsidR="00FF6F6A" w:rsidRPr="000B10DD" w:rsidRDefault="0023599A" w:rsidP="00F91786">
      <w:pPr>
        <w:numPr>
          <w:ilvl w:val="0"/>
          <w:numId w:val="19"/>
        </w:numPr>
        <w:spacing w:after="0"/>
        <w:ind w:hanging="720"/>
        <w:jc w:val="left"/>
        <w:rPr>
          <w:rFonts w:eastAsia="Cambria" w:cs="Arial"/>
          <w:lang w:eastAsia="en-GB"/>
        </w:rPr>
      </w:pPr>
      <w:r w:rsidRPr="000B10DD">
        <w:rPr>
          <w:rFonts w:eastAsia="Cambria" w:cs="Arial"/>
          <w:lang w:eastAsia="en-GB"/>
        </w:rPr>
        <w:t xml:space="preserve">understand and comply with legislative and other requirements; </w:t>
      </w:r>
    </w:p>
    <w:p w:rsidR="00FF6F6A" w:rsidRPr="000B10DD" w:rsidRDefault="0023599A" w:rsidP="00F91786">
      <w:pPr>
        <w:numPr>
          <w:ilvl w:val="0"/>
          <w:numId w:val="19"/>
        </w:numPr>
        <w:spacing w:after="0"/>
        <w:ind w:right="656" w:hanging="720"/>
        <w:jc w:val="left"/>
        <w:rPr>
          <w:rFonts w:eastAsia="Cambria" w:cs="Arial"/>
          <w:lang w:eastAsia="en-GB"/>
        </w:rPr>
      </w:pPr>
      <w:r w:rsidRPr="000B10DD">
        <w:rPr>
          <w:rFonts w:eastAsia="Cambria" w:cs="Arial"/>
          <w:lang w:eastAsia="en-GB"/>
        </w:rPr>
        <w:t>act with integrity</w:t>
      </w:r>
      <w:r>
        <w:rPr>
          <w:rFonts w:eastAsia="Cambria" w:cs="Arial"/>
          <w:lang w:eastAsia="en-GB"/>
        </w:rPr>
        <w:t xml:space="preserve"> and</w:t>
      </w:r>
      <w:r w:rsidRPr="000B10DD">
        <w:rPr>
          <w:rFonts w:eastAsia="Cambria" w:cs="Arial"/>
          <w:lang w:eastAsia="en-GB"/>
        </w:rPr>
        <w:t xml:space="preserve">; </w:t>
      </w:r>
    </w:p>
    <w:p w:rsidR="00FF6F6A" w:rsidRPr="000B10DD" w:rsidRDefault="0023599A" w:rsidP="00F91786">
      <w:pPr>
        <w:numPr>
          <w:ilvl w:val="0"/>
          <w:numId w:val="19"/>
        </w:numPr>
        <w:spacing w:after="0"/>
        <w:ind w:right="656" w:hanging="720"/>
        <w:jc w:val="left"/>
        <w:rPr>
          <w:rFonts w:eastAsia="Cambria" w:cs="Arial"/>
          <w:lang w:eastAsia="en-GB"/>
        </w:rPr>
      </w:pPr>
      <w:r>
        <w:rPr>
          <w:rFonts w:eastAsia="Cambria" w:cs="Arial"/>
          <w:lang w:eastAsia="en-GB"/>
        </w:rPr>
        <w:t>are a</w:t>
      </w:r>
      <w:r w:rsidRPr="000B10DD">
        <w:rPr>
          <w:rFonts w:eastAsia="Cambria" w:cs="Arial"/>
          <w:lang w:eastAsia="en-GB"/>
        </w:rPr>
        <w:t>ccountable to the Fund’s stakeholders for their decisions.</w:t>
      </w:r>
    </w:p>
    <w:p w:rsidR="00FF6F6A" w:rsidRPr="000B10DD" w:rsidRDefault="00FF6F6A" w:rsidP="00FF6F6A">
      <w:pPr>
        <w:autoSpaceDE/>
        <w:autoSpaceDN/>
        <w:adjustRightInd/>
        <w:spacing w:after="0"/>
        <w:jc w:val="left"/>
        <w:rPr>
          <w:rFonts w:eastAsia="Times New Roman" w:cs="Arial"/>
          <w:color w:val="auto"/>
          <w:lang w:eastAsia="en-GB"/>
        </w:rPr>
      </w:pPr>
    </w:p>
    <w:p w:rsidR="00AF16DB" w:rsidRPr="00AF16DB" w:rsidRDefault="00AF16DB" w:rsidP="00AF16DB">
      <w:pPr>
        <w:spacing w:after="0"/>
        <w:jc w:val="left"/>
        <w:rPr>
          <w:rFonts w:eastAsiaTheme="minorHAnsi" w:cs="Arial"/>
          <w:color w:val="auto"/>
        </w:rPr>
      </w:pPr>
      <w:r w:rsidRPr="00AF16DB">
        <w:rPr>
          <w:rFonts w:eastAsiaTheme="minorHAnsi" w:cs="Arial"/>
          <w:color w:val="auto"/>
        </w:rPr>
        <w:t>The competency and performance of senior Officers charged with managing and</w:t>
      </w:r>
      <w:r>
        <w:rPr>
          <w:rFonts w:eastAsiaTheme="minorHAnsi" w:cs="Arial"/>
          <w:color w:val="auto"/>
        </w:rPr>
        <w:t xml:space="preserve"> </w:t>
      </w:r>
      <w:r w:rsidRPr="00AF16DB">
        <w:rPr>
          <w:rFonts w:eastAsiaTheme="minorHAnsi" w:cs="Arial"/>
          <w:color w:val="auto"/>
        </w:rPr>
        <w:t>directing the LCPF fall under the auspices of Lancashire County Council's</w:t>
      </w:r>
    </w:p>
    <w:p w:rsidR="00AF16DB" w:rsidRPr="00AF16DB" w:rsidRDefault="00AF16DB" w:rsidP="00AF16DB">
      <w:pPr>
        <w:spacing w:after="0"/>
        <w:jc w:val="left"/>
        <w:rPr>
          <w:rFonts w:eastAsiaTheme="minorHAnsi" w:cs="Arial"/>
          <w:color w:val="auto"/>
        </w:rPr>
      </w:pPr>
      <w:r w:rsidRPr="00AF16DB">
        <w:rPr>
          <w:rFonts w:eastAsiaTheme="minorHAnsi" w:cs="Arial"/>
          <w:color w:val="auto"/>
        </w:rPr>
        <w:t>Performance Development Review (PDR) process and wider continuing professional</w:t>
      </w:r>
      <w:r>
        <w:rPr>
          <w:rFonts w:eastAsiaTheme="minorHAnsi" w:cs="Arial"/>
          <w:color w:val="auto"/>
        </w:rPr>
        <w:t xml:space="preserve"> </w:t>
      </w:r>
      <w:r w:rsidRPr="00AF16DB">
        <w:rPr>
          <w:rFonts w:eastAsiaTheme="minorHAnsi" w:cs="Arial"/>
          <w:color w:val="auto"/>
        </w:rPr>
        <w:t>development (CPD) frameworks. For this reason, officers are outside the scope of this</w:t>
      </w:r>
    </w:p>
    <w:p w:rsidR="00FF6F6A" w:rsidRDefault="00AF16DB" w:rsidP="00AF16DB">
      <w:pPr>
        <w:spacing w:after="0"/>
        <w:jc w:val="left"/>
        <w:rPr>
          <w:rFonts w:eastAsia="Cambria" w:cs="Arial"/>
          <w:lang w:eastAsia="en-GB"/>
        </w:rPr>
      </w:pPr>
      <w:r w:rsidRPr="00AF16DB">
        <w:rPr>
          <w:rFonts w:eastAsiaTheme="minorHAnsi" w:cs="Arial"/>
          <w:color w:val="auto"/>
        </w:rPr>
        <w:t>Training Policy which focusses specifically on the training needs of members of the</w:t>
      </w:r>
      <w:r>
        <w:rPr>
          <w:rFonts w:eastAsiaTheme="minorHAnsi" w:cs="Arial"/>
          <w:color w:val="auto"/>
        </w:rPr>
        <w:t xml:space="preserve"> </w:t>
      </w:r>
      <w:r w:rsidRPr="00AF16DB">
        <w:rPr>
          <w:rFonts w:eastAsiaTheme="minorHAnsi" w:cs="Arial"/>
          <w:color w:val="auto"/>
        </w:rPr>
        <w:t>Pension Fund Committee and Lancashire Local Pension Board.</w:t>
      </w:r>
    </w:p>
    <w:p w:rsidR="00AF16DB" w:rsidRPr="000B10DD" w:rsidRDefault="00AF16DB" w:rsidP="00FF6F6A">
      <w:pPr>
        <w:autoSpaceDE/>
        <w:autoSpaceDN/>
        <w:adjustRightInd/>
        <w:spacing w:after="0"/>
        <w:jc w:val="left"/>
        <w:rPr>
          <w:rFonts w:eastAsia="Times New Roman" w:cs="Arial"/>
          <w:i/>
          <w:color w:val="auto"/>
          <w:lang w:eastAsia="en-GB"/>
        </w:rPr>
      </w:pPr>
    </w:p>
    <w:p w:rsidR="00310C84" w:rsidRDefault="0023599A" w:rsidP="00FF6F6A">
      <w:pPr>
        <w:spacing w:after="0" w:line="242" w:lineRule="auto"/>
        <w:ind w:right="656"/>
        <w:rPr>
          <w:rFonts w:cs="Arial"/>
        </w:rPr>
      </w:pPr>
      <w:r w:rsidRPr="000B10DD">
        <w:rPr>
          <w:rFonts w:cs="Arial"/>
        </w:rPr>
        <w:t>The Policy provides a framework for ensuring members receive appropriate support (both collectively and individually) for gaining the knowledge and</w:t>
      </w:r>
      <w:r>
        <w:rPr>
          <w:rFonts w:cs="Arial"/>
        </w:rPr>
        <w:t xml:space="preserve"> </w:t>
      </w:r>
      <w:r w:rsidRPr="000B10DD">
        <w:rPr>
          <w:rFonts w:cs="Arial"/>
        </w:rPr>
        <w:t xml:space="preserve">understanding they need. Training </w:t>
      </w:r>
    </w:p>
    <w:p w:rsidR="00310C84" w:rsidRDefault="00310C84" w:rsidP="00FF6F6A">
      <w:pPr>
        <w:spacing w:after="0" w:line="242" w:lineRule="auto"/>
        <w:ind w:right="656"/>
        <w:rPr>
          <w:rFonts w:cs="Arial"/>
        </w:rPr>
      </w:pPr>
    </w:p>
    <w:p w:rsidR="00FF6F6A" w:rsidRPr="000B10DD" w:rsidRDefault="0023599A" w:rsidP="00FF6F6A">
      <w:pPr>
        <w:spacing w:after="0" w:line="242" w:lineRule="auto"/>
        <w:ind w:right="656"/>
        <w:rPr>
          <w:rFonts w:cs="Arial"/>
        </w:rPr>
      </w:pPr>
      <w:r w:rsidRPr="000B10DD">
        <w:rPr>
          <w:rFonts w:cs="Arial"/>
        </w:rPr>
        <w:t xml:space="preserve">is </w:t>
      </w:r>
      <w:r w:rsidRPr="000B10DD">
        <w:rPr>
          <w:rFonts w:eastAsia="Times New Roman" w:cs="Arial"/>
          <w:color w:val="auto"/>
          <w:lang w:eastAsia="en-GB"/>
        </w:rPr>
        <w:t>responsive to</w:t>
      </w:r>
      <w:r w:rsidRPr="000B10DD">
        <w:rPr>
          <w:rFonts w:cs="Arial"/>
        </w:rPr>
        <w:t xml:space="preserve"> the learning needs of individuals in their different roles and members have</w:t>
      </w:r>
      <w:r w:rsidRPr="000B10DD">
        <w:rPr>
          <w:rFonts w:eastAsia="Times New Roman" w:cs="Arial"/>
          <w:color w:val="auto"/>
          <w:lang w:eastAsia="en-GB"/>
        </w:rPr>
        <w:t xml:space="preserve"> regular opportunities to build skills and knowledge through </w:t>
      </w:r>
      <w:r w:rsidRPr="000B10DD">
        <w:rPr>
          <w:rFonts w:cs="Arial"/>
        </w:rPr>
        <w:t xml:space="preserve">a range of </w:t>
      </w:r>
      <w:r w:rsidRPr="000B10DD">
        <w:rPr>
          <w:rFonts w:eastAsia="Cambria" w:cs="Arial"/>
          <w:lang w:eastAsia="en-GB"/>
        </w:rPr>
        <w:t xml:space="preserve">methods and approaches including: </w:t>
      </w:r>
    </w:p>
    <w:p w:rsidR="00FF6F6A" w:rsidRPr="000B10DD" w:rsidRDefault="00FF6F6A" w:rsidP="00FF6F6A">
      <w:pPr>
        <w:spacing w:after="0"/>
        <w:ind w:right="656"/>
        <w:jc w:val="left"/>
        <w:rPr>
          <w:rFonts w:eastAsia="Cambria" w:cs="Arial"/>
          <w:lang w:eastAsia="en-GB"/>
        </w:rPr>
      </w:pPr>
    </w:p>
    <w:p w:rsidR="00FF6F6A" w:rsidRPr="000B10DD" w:rsidRDefault="0023599A" w:rsidP="00F91786">
      <w:pPr>
        <w:numPr>
          <w:ilvl w:val="0"/>
          <w:numId w:val="20"/>
        </w:numPr>
        <w:tabs>
          <w:tab w:val="left" w:pos="709"/>
        </w:tabs>
        <w:spacing w:after="0"/>
        <w:ind w:left="0" w:right="656" w:firstLine="0"/>
        <w:jc w:val="left"/>
        <w:rPr>
          <w:rFonts w:eastAsia="Cambria" w:cs="Arial"/>
          <w:lang w:eastAsia="en-GB"/>
        </w:rPr>
      </w:pPr>
      <w:r w:rsidRPr="000B10DD">
        <w:rPr>
          <w:rFonts w:eastAsia="Cambria" w:cs="Arial"/>
          <w:lang w:eastAsia="en-GB"/>
        </w:rPr>
        <w:t xml:space="preserve">in-house training from officers and/or external advisors </w:t>
      </w:r>
    </w:p>
    <w:p w:rsidR="00FF6F6A" w:rsidRPr="000B10DD" w:rsidRDefault="0023599A" w:rsidP="00F91786">
      <w:pPr>
        <w:numPr>
          <w:ilvl w:val="0"/>
          <w:numId w:val="20"/>
        </w:numPr>
        <w:tabs>
          <w:tab w:val="left" w:pos="709"/>
        </w:tabs>
        <w:spacing w:after="0"/>
        <w:ind w:left="0" w:right="656" w:firstLine="0"/>
        <w:jc w:val="left"/>
        <w:rPr>
          <w:rFonts w:eastAsia="Cambria" w:cs="Arial"/>
          <w:lang w:eastAsia="en-GB"/>
        </w:rPr>
      </w:pPr>
      <w:r w:rsidRPr="000B10DD">
        <w:rPr>
          <w:rFonts w:eastAsia="Cambria" w:cs="Arial"/>
          <w:lang w:eastAsia="en-GB"/>
        </w:rPr>
        <w:t xml:space="preserve">external training events by recognised bodies </w:t>
      </w:r>
    </w:p>
    <w:p w:rsidR="00FF6F6A" w:rsidRPr="000B10DD" w:rsidRDefault="0023599A" w:rsidP="00F91786">
      <w:pPr>
        <w:numPr>
          <w:ilvl w:val="0"/>
          <w:numId w:val="20"/>
        </w:numPr>
        <w:tabs>
          <w:tab w:val="left" w:pos="709"/>
        </w:tabs>
        <w:spacing w:after="0"/>
        <w:ind w:left="0" w:right="656" w:firstLine="0"/>
        <w:jc w:val="left"/>
        <w:rPr>
          <w:rFonts w:eastAsia="Cambria" w:cs="Arial"/>
          <w:lang w:eastAsia="en-GB"/>
        </w:rPr>
      </w:pPr>
      <w:r w:rsidRPr="000B10DD">
        <w:rPr>
          <w:rFonts w:eastAsia="Cambria" w:cs="Arial"/>
          <w:lang w:eastAsia="en-GB"/>
        </w:rPr>
        <w:t xml:space="preserve">attendance at external seminars and conferences </w:t>
      </w:r>
    </w:p>
    <w:p w:rsidR="00FF6F6A" w:rsidRPr="000B10DD" w:rsidRDefault="0023599A" w:rsidP="00F91786">
      <w:pPr>
        <w:numPr>
          <w:ilvl w:val="0"/>
          <w:numId w:val="20"/>
        </w:numPr>
        <w:tabs>
          <w:tab w:val="left" w:pos="709"/>
        </w:tabs>
        <w:spacing w:after="0"/>
        <w:ind w:right="656" w:hanging="720"/>
        <w:jc w:val="left"/>
        <w:rPr>
          <w:rFonts w:eastAsia="Cambria" w:cs="Arial"/>
          <w:lang w:eastAsia="en-GB"/>
        </w:rPr>
      </w:pPr>
      <w:r w:rsidRPr="000B10DD">
        <w:rPr>
          <w:rFonts w:eastAsia="Cambria" w:cs="Arial"/>
          <w:lang w:eastAsia="en-GB"/>
        </w:rPr>
        <w:t>practical support and guidance through recommended reading and targeted information</w:t>
      </w:r>
    </w:p>
    <w:p w:rsidR="00FF6F6A" w:rsidRPr="000B10DD" w:rsidRDefault="0023599A" w:rsidP="00F91786">
      <w:pPr>
        <w:numPr>
          <w:ilvl w:val="0"/>
          <w:numId w:val="20"/>
        </w:numPr>
        <w:tabs>
          <w:tab w:val="left" w:pos="709"/>
        </w:tabs>
        <w:spacing w:after="0"/>
        <w:ind w:right="656" w:hanging="720"/>
        <w:jc w:val="left"/>
        <w:rPr>
          <w:rFonts w:eastAsia="Cambria" w:cs="Arial"/>
          <w:lang w:eastAsia="en-GB"/>
        </w:rPr>
      </w:pPr>
      <w:r w:rsidRPr="000B10DD">
        <w:rPr>
          <w:rFonts w:eastAsia="Cambria" w:cs="Arial"/>
          <w:lang w:eastAsia="en-GB"/>
        </w:rPr>
        <w:t>key documents/learning materials made accessible via a</w:t>
      </w:r>
      <w:r>
        <w:rPr>
          <w:rFonts w:eastAsia="Cambria" w:cs="Arial"/>
          <w:lang w:eastAsia="en-GB"/>
        </w:rPr>
        <w:t xml:space="preserve"> secure </w:t>
      </w:r>
      <w:r w:rsidRPr="000B10DD">
        <w:rPr>
          <w:rFonts w:eastAsia="Cambria" w:cs="Arial"/>
          <w:lang w:eastAsia="en-GB"/>
        </w:rPr>
        <w:t xml:space="preserve">online </w:t>
      </w:r>
      <w:r>
        <w:rPr>
          <w:rFonts w:eastAsia="Cambria" w:cs="Arial"/>
          <w:lang w:eastAsia="en-GB"/>
        </w:rPr>
        <w:t>Library</w:t>
      </w:r>
      <w:r w:rsidRPr="000B10DD">
        <w:rPr>
          <w:rFonts w:eastAsia="Cambria" w:cs="Arial"/>
          <w:lang w:eastAsia="en-GB"/>
        </w:rPr>
        <w:t xml:space="preserve"> </w:t>
      </w:r>
    </w:p>
    <w:p w:rsidR="00FF6F6A" w:rsidRPr="000B10DD" w:rsidRDefault="00FF6F6A" w:rsidP="00FF6F6A">
      <w:pPr>
        <w:spacing w:after="0"/>
        <w:jc w:val="left"/>
        <w:rPr>
          <w:rFonts w:eastAsia="Times New Roman" w:cs="Arial"/>
          <w:color w:val="auto"/>
          <w:lang w:eastAsia="en-GB"/>
        </w:rPr>
      </w:pPr>
    </w:p>
    <w:p w:rsidR="00FF6F6A" w:rsidRPr="000B10DD" w:rsidRDefault="0023599A" w:rsidP="00FF6F6A">
      <w:pPr>
        <w:spacing w:after="0"/>
        <w:jc w:val="left"/>
        <w:rPr>
          <w:rFonts w:eastAsia="Times New Roman" w:cs="Arial"/>
          <w:color w:val="auto"/>
          <w:lang w:eastAsia="en-GB"/>
        </w:rPr>
      </w:pPr>
      <w:r w:rsidRPr="000B10DD">
        <w:rPr>
          <w:rFonts w:cs="Arial"/>
        </w:rPr>
        <w:t xml:space="preserve">Committee and Board members are personally responsible for identifying gaps in their knowledge which could prevent them performing their duties effectively. They </w:t>
      </w:r>
      <w:r w:rsidRPr="000B10DD">
        <w:rPr>
          <w:rFonts w:eastAsia="Times New Roman" w:cs="Arial"/>
          <w:color w:val="auto"/>
          <w:lang w:eastAsia="en-GB"/>
        </w:rPr>
        <w:t xml:space="preserve">are expected to undertake self-directed learning to complement the training provided and to seek additional support and advice from fund officers as required. </w:t>
      </w:r>
    </w:p>
    <w:p w:rsidR="00FF6F6A" w:rsidRPr="000B10DD" w:rsidRDefault="00FF6F6A" w:rsidP="00FF6F6A">
      <w:pPr>
        <w:keepNext/>
        <w:autoSpaceDE/>
        <w:autoSpaceDN/>
        <w:adjustRightInd/>
        <w:spacing w:after="0"/>
        <w:jc w:val="left"/>
        <w:outlineLvl w:val="4"/>
        <w:rPr>
          <w:rFonts w:eastAsia="Times New Roman" w:cs="Arial"/>
          <w:b/>
          <w:color w:val="auto"/>
          <w:lang w:eastAsia="en-GB"/>
        </w:rPr>
      </w:pPr>
    </w:p>
    <w:p w:rsidR="00FF6F6A" w:rsidRDefault="0023599A" w:rsidP="00FF6F6A">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Details of training provided internally and attended externally by members</w:t>
      </w:r>
      <w:r>
        <w:rPr>
          <w:rFonts w:eastAsia="Times New Roman" w:cs="Arial"/>
          <w:color w:val="auto"/>
          <w:lang w:eastAsia="en-GB"/>
        </w:rPr>
        <w:t xml:space="preserve"> of the Pension Fund Committee (PFC) and Lancashire Local Pension Board (LLPB)</w:t>
      </w:r>
      <w:r w:rsidRPr="000B10DD">
        <w:rPr>
          <w:rFonts w:eastAsia="Times New Roman" w:cs="Arial"/>
          <w:color w:val="auto"/>
          <w:lang w:eastAsia="en-GB"/>
        </w:rPr>
        <w:t xml:space="preserve"> </w:t>
      </w:r>
      <w:r w:rsidR="00EE7245">
        <w:rPr>
          <w:rFonts w:eastAsia="Times New Roman" w:cs="Arial"/>
          <w:color w:val="auto"/>
          <w:lang w:eastAsia="en-GB"/>
        </w:rPr>
        <w:t>since 1 April 2017 are detailed below.</w:t>
      </w:r>
    </w:p>
    <w:p w:rsidR="00FF6F6A" w:rsidRDefault="00FF6F6A" w:rsidP="00FF6F6A">
      <w:pPr>
        <w:autoSpaceDE/>
        <w:autoSpaceDN/>
        <w:adjustRightInd/>
        <w:spacing w:after="0"/>
        <w:jc w:val="left"/>
        <w:rPr>
          <w:rFonts w:eastAsia="Times New Roman" w:cs="Arial"/>
          <w:color w:val="auto"/>
          <w:lang w:eastAsia="en-GB"/>
        </w:rPr>
      </w:pPr>
    </w:p>
    <w:tbl>
      <w:tblPr>
        <w:tblStyle w:val="TableGrid"/>
        <w:tblW w:w="9639" w:type="dxa"/>
        <w:tblInd w:w="279" w:type="dxa"/>
        <w:tblLayout w:type="fixed"/>
        <w:tblLook w:val="04A0" w:firstRow="1" w:lastRow="0" w:firstColumn="1" w:lastColumn="0" w:noHBand="0" w:noVBand="1"/>
      </w:tblPr>
      <w:tblGrid>
        <w:gridCol w:w="2410"/>
        <w:gridCol w:w="2976"/>
        <w:gridCol w:w="2268"/>
        <w:gridCol w:w="993"/>
        <w:gridCol w:w="992"/>
      </w:tblGrid>
      <w:tr w:rsidR="00EE7245" w:rsidRPr="003E36E9" w:rsidTr="00EE7245">
        <w:tc>
          <w:tcPr>
            <w:tcW w:w="2410" w:type="dxa"/>
            <w:vMerge w:val="restart"/>
            <w:shd w:val="clear" w:color="auto" w:fill="auto"/>
          </w:tcPr>
          <w:p w:rsidR="00EE7245" w:rsidRPr="008F752F" w:rsidRDefault="00EE7245" w:rsidP="00C16643">
            <w:pPr>
              <w:rPr>
                <w:rFonts w:cs="Arial"/>
                <w:b/>
              </w:rPr>
            </w:pPr>
            <w:r w:rsidRPr="008F752F">
              <w:rPr>
                <w:rFonts w:cs="Arial"/>
                <w:b/>
              </w:rPr>
              <w:t xml:space="preserve">Date </w:t>
            </w:r>
          </w:p>
        </w:tc>
        <w:tc>
          <w:tcPr>
            <w:tcW w:w="2976" w:type="dxa"/>
            <w:vMerge w:val="restart"/>
            <w:shd w:val="clear" w:color="auto" w:fill="auto"/>
          </w:tcPr>
          <w:p w:rsidR="00EE7245" w:rsidRPr="008F752F" w:rsidRDefault="00EE7245" w:rsidP="00C16643">
            <w:pPr>
              <w:rPr>
                <w:rFonts w:cs="Arial"/>
                <w:b/>
              </w:rPr>
            </w:pPr>
            <w:r>
              <w:rPr>
                <w:rFonts w:cs="Arial"/>
                <w:b/>
              </w:rPr>
              <w:t>Subject</w:t>
            </w:r>
          </w:p>
        </w:tc>
        <w:tc>
          <w:tcPr>
            <w:tcW w:w="2268" w:type="dxa"/>
            <w:vMerge w:val="restart"/>
            <w:shd w:val="clear" w:color="auto" w:fill="auto"/>
          </w:tcPr>
          <w:p w:rsidR="00EE7245" w:rsidRPr="008F752F" w:rsidRDefault="00EE7245" w:rsidP="00C16643">
            <w:pPr>
              <w:rPr>
                <w:rFonts w:cs="Arial"/>
                <w:b/>
              </w:rPr>
            </w:pPr>
            <w:r w:rsidRPr="008F752F">
              <w:rPr>
                <w:rFonts w:cs="Arial"/>
                <w:b/>
              </w:rPr>
              <w:t>Venue</w:t>
            </w:r>
          </w:p>
        </w:tc>
        <w:tc>
          <w:tcPr>
            <w:tcW w:w="1985" w:type="dxa"/>
            <w:gridSpan w:val="2"/>
            <w:shd w:val="clear" w:color="auto" w:fill="auto"/>
          </w:tcPr>
          <w:p w:rsidR="00EE7245" w:rsidRPr="003E36E9" w:rsidRDefault="00EE7245" w:rsidP="00C16643">
            <w:pPr>
              <w:jc w:val="center"/>
              <w:rPr>
                <w:rFonts w:cs="Arial"/>
                <w:b/>
              </w:rPr>
            </w:pPr>
            <w:r>
              <w:rPr>
                <w:rFonts w:cs="Arial"/>
                <w:b/>
              </w:rPr>
              <w:t>Attendees</w:t>
            </w:r>
          </w:p>
        </w:tc>
      </w:tr>
      <w:tr w:rsidR="00EE7245" w:rsidRPr="003E36E9" w:rsidTr="00EE7245">
        <w:trPr>
          <w:trHeight w:val="466"/>
        </w:trPr>
        <w:tc>
          <w:tcPr>
            <w:tcW w:w="2410" w:type="dxa"/>
            <w:vMerge/>
            <w:shd w:val="clear" w:color="auto" w:fill="auto"/>
          </w:tcPr>
          <w:p w:rsidR="00EE7245" w:rsidRPr="008F752F" w:rsidRDefault="00EE7245" w:rsidP="00C16643">
            <w:pPr>
              <w:rPr>
                <w:rFonts w:cs="Arial"/>
                <w:b/>
              </w:rPr>
            </w:pPr>
          </w:p>
        </w:tc>
        <w:tc>
          <w:tcPr>
            <w:tcW w:w="2976" w:type="dxa"/>
            <w:vMerge/>
            <w:shd w:val="clear" w:color="auto" w:fill="auto"/>
          </w:tcPr>
          <w:p w:rsidR="00EE7245" w:rsidRPr="008F752F" w:rsidRDefault="00EE7245" w:rsidP="00C16643">
            <w:pPr>
              <w:rPr>
                <w:rFonts w:cs="Arial"/>
                <w:b/>
              </w:rPr>
            </w:pPr>
          </w:p>
        </w:tc>
        <w:tc>
          <w:tcPr>
            <w:tcW w:w="2268" w:type="dxa"/>
            <w:vMerge/>
            <w:shd w:val="clear" w:color="auto" w:fill="auto"/>
          </w:tcPr>
          <w:p w:rsidR="00EE7245" w:rsidRPr="008F752F" w:rsidRDefault="00EE7245" w:rsidP="00C16643">
            <w:pPr>
              <w:rPr>
                <w:rFonts w:cs="Arial"/>
                <w:b/>
              </w:rPr>
            </w:pPr>
          </w:p>
        </w:tc>
        <w:tc>
          <w:tcPr>
            <w:tcW w:w="993" w:type="dxa"/>
            <w:shd w:val="clear" w:color="auto" w:fill="auto"/>
          </w:tcPr>
          <w:p w:rsidR="00EE7245" w:rsidRDefault="00EE7245" w:rsidP="00C16643">
            <w:pPr>
              <w:jc w:val="center"/>
              <w:rPr>
                <w:rFonts w:cs="Arial"/>
                <w:b/>
              </w:rPr>
            </w:pPr>
            <w:r>
              <w:rPr>
                <w:rFonts w:cs="Arial"/>
                <w:b/>
              </w:rPr>
              <w:t>PFC</w:t>
            </w:r>
          </w:p>
        </w:tc>
        <w:tc>
          <w:tcPr>
            <w:tcW w:w="992" w:type="dxa"/>
            <w:shd w:val="clear" w:color="auto" w:fill="auto"/>
          </w:tcPr>
          <w:p w:rsidR="00EE7245" w:rsidRPr="003E36E9" w:rsidRDefault="00EE7245" w:rsidP="00C16643">
            <w:pPr>
              <w:jc w:val="center"/>
              <w:rPr>
                <w:rFonts w:cs="Arial"/>
                <w:b/>
              </w:rPr>
            </w:pPr>
            <w:r>
              <w:rPr>
                <w:rFonts w:cs="Arial"/>
                <w:b/>
              </w:rPr>
              <w:t>LLPB</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Pr="00BC6299" w:rsidRDefault="00EE7245" w:rsidP="00EE7245">
            <w:pPr>
              <w:jc w:val="left"/>
              <w:rPr>
                <w:rFonts w:cs="Arial"/>
              </w:rPr>
            </w:pPr>
            <w:r w:rsidRPr="00BC6299">
              <w:rPr>
                <w:rFonts w:cs="Arial"/>
              </w:rPr>
              <w:t>15</w:t>
            </w:r>
            <w:r>
              <w:rPr>
                <w:rFonts w:cs="Arial"/>
              </w:rPr>
              <w:t>-</w:t>
            </w:r>
            <w:r w:rsidRPr="00BC6299">
              <w:rPr>
                <w:rFonts w:cs="Arial"/>
              </w:rPr>
              <w:t>17 May 2017</w:t>
            </w:r>
          </w:p>
        </w:tc>
        <w:tc>
          <w:tcPr>
            <w:tcW w:w="2976" w:type="dxa"/>
            <w:tcBorders>
              <w:top w:val="single" w:sz="4" w:space="0" w:color="auto"/>
              <w:left w:val="single" w:sz="4" w:space="0" w:color="auto"/>
              <w:bottom w:val="single" w:sz="4" w:space="0" w:color="auto"/>
              <w:right w:val="single" w:sz="4" w:space="0" w:color="auto"/>
            </w:tcBorders>
          </w:tcPr>
          <w:p w:rsidR="00EE7245" w:rsidRPr="00BC6299" w:rsidRDefault="00EE7245" w:rsidP="00EE7245">
            <w:pPr>
              <w:jc w:val="left"/>
              <w:rPr>
                <w:rFonts w:cs="Arial"/>
              </w:rPr>
            </w:pPr>
            <w:r w:rsidRPr="00BC6299">
              <w:rPr>
                <w:rFonts w:cs="Arial"/>
              </w:rPr>
              <w:t>Local Authority Conference</w:t>
            </w:r>
          </w:p>
        </w:tc>
        <w:tc>
          <w:tcPr>
            <w:tcW w:w="2268" w:type="dxa"/>
            <w:tcBorders>
              <w:top w:val="single" w:sz="4" w:space="0" w:color="auto"/>
              <w:left w:val="single" w:sz="4" w:space="0" w:color="auto"/>
              <w:bottom w:val="single" w:sz="4" w:space="0" w:color="auto"/>
              <w:right w:val="single" w:sz="4" w:space="0" w:color="auto"/>
            </w:tcBorders>
          </w:tcPr>
          <w:p w:rsidR="00EE7245" w:rsidRPr="00BC6299" w:rsidRDefault="00EE7245" w:rsidP="00EE7245">
            <w:pPr>
              <w:jc w:val="left"/>
              <w:rPr>
                <w:rFonts w:cs="Arial"/>
              </w:rPr>
            </w:pPr>
            <w:r w:rsidRPr="00BC6299">
              <w:rPr>
                <w:rFonts w:cs="Arial"/>
              </w:rPr>
              <w:t>De Vere Cotswold Water Park in Gloucestershire</w:t>
            </w:r>
          </w:p>
        </w:tc>
        <w:tc>
          <w:tcPr>
            <w:tcW w:w="993" w:type="dxa"/>
            <w:shd w:val="clear" w:color="auto" w:fill="auto"/>
          </w:tcPr>
          <w:p w:rsidR="00EE7245" w:rsidRPr="00F2565D" w:rsidRDefault="00EE7245" w:rsidP="00C16643">
            <w:pPr>
              <w:jc w:val="center"/>
              <w:rPr>
                <w:rFonts w:cs="Arial"/>
              </w:rPr>
            </w:pPr>
            <w:r>
              <w:rPr>
                <w:rFonts w:cs="Arial"/>
              </w:rPr>
              <w:t>1</w:t>
            </w:r>
          </w:p>
        </w:tc>
        <w:tc>
          <w:tcPr>
            <w:tcW w:w="992" w:type="dxa"/>
            <w:shd w:val="clear" w:color="auto" w:fill="auto"/>
          </w:tcPr>
          <w:p w:rsidR="00EE7245" w:rsidRPr="00F2565D" w:rsidRDefault="00EE7245" w:rsidP="00C16643">
            <w:pPr>
              <w:jc w:val="center"/>
              <w:rPr>
                <w:rFonts w:cs="Arial"/>
              </w:rPr>
            </w:pPr>
            <w:r>
              <w:rPr>
                <w:rFonts w:cs="Arial"/>
              </w:rPr>
              <w:t>1</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Pr="00BD27E9" w:rsidRDefault="00EE7245" w:rsidP="00EE7245">
            <w:pPr>
              <w:jc w:val="left"/>
              <w:rPr>
                <w:rFonts w:cs="Arial"/>
                <w:bCs/>
              </w:rPr>
            </w:pPr>
            <w:r>
              <w:rPr>
                <w:rFonts w:cs="Arial"/>
                <w:bCs/>
              </w:rPr>
              <w:t>23 June 2017</w:t>
            </w:r>
          </w:p>
        </w:tc>
        <w:tc>
          <w:tcPr>
            <w:tcW w:w="2976" w:type="dxa"/>
            <w:tcBorders>
              <w:top w:val="single" w:sz="4" w:space="0" w:color="auto"/>
              <w:left w:val="single" w:sz="4" w:space="0" w:color="auto"/>
              <w:bottom w:val="single" w:sz="4" w:space="0" w:color="auto"/>
              <w:right w:val="single" w:sz="4" w:space="0" w:color="auto"/>
            </w:tcBorders>
          </w:tcPr>
          <w:p w:rsidR="00EE7245" w:rsidRPr="00BD27E9" w:rsidRDefault="00EE7245" w:rsidP="00EE7245">
            <w:pPr>
              <w:jc w:val="left"/>
              <w:rPr>
                <w:rFonts w:cs="Arial"/>
                <w:bCs/>
              </w:rPr>
            </w:pPr>
            <w:r>
              <w:rPr>
                <w:rFonts w:cs="Arial"/>
                <w:bCs/>
              </w:rPr>
              <w:t>Workshop on Annual report and Accounts</w:t>
            </w:r>
          </w:p>
        </w:tc>
        <w:tc>
          <w:tcPr>
            <w:tcW w:w="2268" w:type="dxa"/>
            <w:tcBorders>
              <w:top w:val="single" w:sz="4" w:space="0" w:color="auto"/>
              <w:left w:val="single" w:sz="4" w:space="0" w:color="auto"/>
              <w:bottom w:val="single" w:sz="4" w:space="0" w:color="auto"/>
              <w:right w:val="single" w:sz="4" w:space="0" w:color="auto"/>
            </w:tcBorders>
          </w:tcPr>
          <w:p w:rsidR="00EE7245" w:rsidRPr="00BD27E9" w:rsidRDefault="00EE7245" w:rsidP="00EE7245">
            <w:pPr>
              <w:jc w:val="left"/>
              <w:rPr>
                <w:rFonts w:cs="Arial"/>
                <w:bCs/>
              </w:rPr>
            </w:pPr>
            <w:r>
              <w:rPr>
                <w:rFonts w:cs="Arial"/>
                <w:bCs/>
              </w:rPr>
              <w:t>County Hall, Preston</w:t>
            </w:r>
          </w:p>
        </w:tc>
        <w:tc>
          <w:tcPr>
            <w:tcW w:w="993" w:type="dxa"/>
            <w:shd w:val="clear" w:color="auto" w:fill="auto"/>
          </w:tcPr>
          <w:p w:rsidR="00EE7245" w:rsidRPr="00F2565D" w:rsidRDefault="00EE7245" w:rsidP="00C16643">
            <w:pPr>
              <w:jc w:val="center"/>
              <w:rPr>
                <w:rFonts w:cs="Arial"/>
              </w:rPr>
            </w:pPr>
            <w:r>
              <w:rPr>
                <w:rFonts w:cs="Arial"/>
              </w:rPr>
              <w:t>8</w:t>
            </w:r>
          </w:p>
        </w:tc>
        <w:tc>
          <w:tcPr>
            <w:tcW w:w="992" w:type="dxa"/>
            <w:shd w:val="clear" w:color="auto" w:fill="auto"/>
          </w:tcPr>
          <w:p w:rsidR="00EE7245" w:rsidRPr="00F2565D" w:rsidRDefault="00EE7245" w:rsidP="00C16643">
            <w:pPr>
              <w:jc w:val="center"/>
              <w:rPr>
                <w:rFonts w:cs="Arial"/>
              </w:rPr>
            </w:pPr>
            <w:r>
              <w:rPr>
                <w:rFonts w:cs="Arial"/>
              </w:rPr>
              <w:t>2</w:t>
            </w:r>
          </w:p>
        </w:tc>
      </w:tr>
      <w:tr w:rsidR="00EE7245" w:rsidRPr="00F2565D" w:rsidTr="00EE7245">
        <w:tc>
          <w:tcPr>
            <w:tcW w:w="2410" w:type="dxa"/>
            <w:shd w:val="clear" w:color="auto" w:fill="auto"/>
          </w:tcPr>
          <w:p w:rsidR="00EE7245" w:rsidRPr="00997710" w:rsidRDefault="00EE7245" w:rsidP="00EE7245">
            <w:pPr>
              <w:jc w:val="left"/>
              <w:rPr>
                <w:rFonts w:cs="Arial"/>
                <w:highlight w:val="yellow"/>
              </w:rPr>
            </w:pPr>
            <w:r w:rsidRPr="00457212">
              <w:rPr>
                <w:rFonts w:cs="Arial"/>
              </w:rPr>
              <w:t>28 Jun</w:t>
            </w:r>
            <w:r>
              <w:rPr>
                <w:rFonts w:cs="Arial"/>
              </w:rPr>
              <w:t>e</w:t>
            </w:r>
            <w:r w:rsidRPr="00457212">
              <w:rPr>
                <w:rFonts w:cs="Arial"/>
              </w:rPr>
              <w:t xml:space="preserve"> 2017</w:t>
            </w:r>
          </w:p>
        </w:tc>
        <w:tc>
          <w:tcPr>
            <w:tcW w:w="2976" w:type="dxa"/>
            <w:shd w:val="clear" w:color="auto" w:fill="auto"/>
          </w:tcPr>
          <w:p w:rsidR="00EE7245" w:rsidRPr="00997710" w:rsidRDefault="00EE7245" w:rsidP="00EE7245">
            <w:pPr>
              <w:jc w:val="left"/>
              <w:rPr>
                <w:rFonts w:cs="Arial"/>
                <w:highlight w:val="yellow"/>
              </w:rPr>
            </w:pPr>
            <w:r w:rsidRPr="00614450">
              <w:rPr>
                <w:rFonts w:cs="Arial"/>
              </w:rPr>
              <w:t>Local Pension Boards 2 Years On event</w:t>
            </w:r>
            <w:r>
              <w:rPr>
                <w:rFonts w:cs="Arial"/>
              </w:rPr>
              <w:t xml:space="preserve"> </w:t>
            </w:r>
          </w:p>
        </w:tc>
        <w:tc>
          <w:tcPr>
            <w:tcW w:w="2268" w:type="dxa"/>
            <w:shd w:val="clear" w:color="auto" w:fill="auto"/>
          </w:tcPr>
          <w:p w:rsidR="00EE7245" w:rsidRPr="00997710" w:rsidRDefault="00EE7245" w:rsidP="00EE7245">
            <w:pPr>
              <w:jc w:val="left"/>
              <w:rPr>
                <w:rFonts w:cs="Arial"/>
                <w:highlight w:val="yellow"/>
              </w:rPr>
            </w:pPr>
            <w:r w:rsidRPr="00614450">
              <w:rPr>
                <w:rFonts w:cs="Arial"/>
              </w:rPr>
              <w:t>Cheapside House, London</w:t>
            </w:r>
          </w:p>
        </w:tc>
        <w:tc>
          <w:tcPr>
            <w:tcW w:w="993" w:type="dxa"/>
            <w:shd w:val="clear" w:color="auto" w:fill="auto"/>
          </w:tcPr>
          <w:p w:rsidR="00EE7245" w:rsidRDefault="00EE7245" w:rsidP="00C16643">
            <w:pPr>
              <w:jc w:val="center"/>
              <w:rPr>
                <w:rFonts w:cs="Arial"/>
              </w:rPr>
            </w:pPr>
            <w:r>
              <w:rPr>
                <w:rFonts w:cs="Arial"/>
              </w:rPr>
              <w:t>0</w:t>
            </w:r>
          </w:p>
        </w:tc>
        <w:tc>
          <w:tcPr>
            <w:tcW w:w="992" w:type="dxa"/>
            <w:shd w:val="clear" w:color="auto" w:fill="auto"/>
          </w:tcPr>
          <w:p w:rsidR="00EE7245" w:rsidRPr="00F2565D" w:rsidRDefault="00EE7245" w:rsidP="00C16643">
            <w:pPr>
              <w:jc w:val="center"/>
              <w:rPr>
                <w:rFonts w:cs="Arial"/>
              </w:rPr>
            </w:pPr>
            <w:r>
              <w:rPr>
                <w:rFonts w:cs="Arial"/>
              </w:rPr>
              <w:t>1</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Pr="00B70CE1" w:rsidRDefault="00EE7245" w:rsidP="00EE7245">
            <w:pPr>
              <w:jc w:val="left"/>
              <w:rPr>
                <w:rFonts w:cs="Arial"/>
              </w:rPr>
            </w:pPr>
            <w:r w:rsidRPr="00B70CE1">
              <w:rPr>
                <w:rFonts w:cs="Arial"/>
                <w:bCs/>
              </w:rPr>
              <w:t>29</w:t>
            </w:r>
            <w:r>
              <w:rPr>
                <w:rFonts w:cs="Arial"/>
                <w:bCs/>
              </w:rPr>
              <w:t>-</w:t>
            </w:r>
            <w:r w:rsidRPr="00B70CE1">
              <w:rPr>
                <w:rFonts w:cs="Arial"/>
                <w:bCs/>
              </w:rPr>
              <w:t>30 June 2017</w:t>
            </w:r>
          </w:p>
        </w:tc>
        <w:tc>
          <w:tcPr>
            <w:tcW w:w="2976" w:type="dxa"/>
            <w:tcBorders>
              <w:top w:val="single" w:sz="4" w:space="0" w:color="auto"/>
              <w:left w:val="single" w:sz="4" w:space="0" w:color="auto"/>
              <w:bottom w:val="single" w:sz="4" w:space="0" w:color="auto"/>
              <w:right w:val="single" w:sz="4" w:space="0" w:color="auto"/>
            </w:tcBorders>
          </w:tcPr>
          <w:p w:rsidR="00EE7245" w:rsidRPr="00B016D3" w:rsidRDefault="00EE7245" w:rsidP="00EE7245">
            <w:pPr>
              <w:jc w:val="left"/>
              <w:rPr>
                <w:rFonts w:cs="Arial"/>
              </w:rPr>
            </w:pPr>
            <w:r w:rsidRPr="00B70CE1">
              <w:rPr>
                <w:rFonts w:cs="Arial"/>
                <w:bCs/>
              </w:rPr>
              <w:t>14th Annual LGPS Trustees’ Conference - “Brave New World”</w:t>
            </w:r>
          </w:p>
        </w:tc>
        <w:tc>
          <w:tcPr>
            <w:tcW w:w="2268" w:type="dxa"/>
            <w:tcBorders>
              <w:top w:val="single" w:sz="4" w:space="0" w:color="auto"/>
              <w:left w:val="single" w:sz="4" w:space="0" w:color="auto"/>
              <w:bottom w:val="single" w:sz="4" w:space="0" w:color="auto"/>
              <w:right w:val="single" w:sz="4" w:space="0" w:color="auto"/>
            </w:tcBorders>
          </w:tcPr>
          <w:p w:rsidR="00EE7245" w:rsidRPr="00B70CE1" w:rsidRDefault="00EE7245" w:rsidP="00EE7245">
            <w:pPr>
              <w:jc w:val="left"/>
              <w:rPr>
                <w:rFonts w:cs="Arial"/>
              </w:rPr>
            </w:pPr>
            <w:r w:rsidRPr="00B70CE1">
              <w:rPr>
                <w:rFonts w:cs="Arial"/>
                <w:bCs/>
              </w:rPr>
              <w:t>Marriott Highcliff Hotel, Bournemouth</w:t>
            </w:r>
          </w:p>
        </w:tc>
        <w:tc>
          <w:tcPr>
            <w:tcW w:w="993" w:type="dxa"/>
            <w:shd w:val="clear" w:color="auto" w:fill="auto"/>
          </w:tcPr>
          <w:p w:rsidR="00EE7245" w:rsidRPr="00F2565D" w:rsidRDefault="00EE7245" w:rsidP="00C16643">
            <w:pPr>
              <w:jc w:val="center"/>
              <w:rPr>
                <w:rFonts w:cs="Arial"/>
              </w:rPr>
            </w:pPr>
            <w:r>
              <w:rPr>
                <w:rFonts w:cs="Arial"/>
              </w:rPr>
              <w:t>1</w:t>
            </w:r>
          </w:p>
        </w:tc>
        <w:tc>
          <w:tcPr>
            <w:tcW w:w="992" w:type="dxa"/>
            <w:shd w:val="clear" w:color="auto" w:fill="auto"/>
          </w:tcPr>
          <w:p w:rsidR="00EE7245" w:rsidRPr="00F2565D" w:rsidRDefault="00EE7245" w:rsidP="00C16643">
            <w:pPr>
              <w:jc w:val="center"/>
              <w:rPr>
                <w:rFonts w:cs="Arial"/>
              </w:rPr>
            </w:pPr>
            <w:r>
              <w:rPr>
                <w:rFonts w:cs="Arial"/>
              </w:rPr>
              <w:t>0</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Pr="00012880" w:rsidRDefault="00EE7245" w:rsidP="00EE7245">
            <w:pPr>
              <w:jc w:val="left"/>
              <w:rPr>
                <w:rFonts w:cs="Arial"/>
              </w:rPr>
            </w:pPr>
            <w:r w:rsidRPr="00012880">
              <w:rPr>
                <w:rFonts w:cs="Arial"/>
                <w:bCs/>
              </w:rPr>
              <w:t>18</w:t>
            </w:r>
            <w:r>
              <w:rPr>
                <w:rFonts w:cs="Arial"/>
                <w:bCs/>
              </w:rPr>
              <w:t>-</w:t>
            </w:r>
            <w:r w:rsidRPr="00012880">
              <w:rPr>
                <w:rFonts w:cs="Arial"/>
                <w:bCs/>
              </w:rPr>
              <w:t>20 July 2017</w:t>
            </w:r>
          </w:p>
        </w:tc>
        <w:tc>
          <w:tcPr>
            <w:tcW w:w="2976" w:type="dxa"/>
            <w:tcBorders>
              <w:top w:val="single" w:sz="4" w:space="0" w:color="auto"/>
              <w:left w:val="single" w:sz="4" w:space="0" w:color="auto"/>
              <w:bottom w:val="single" w:sz="4" w:space="0" w:color="auto"/>
              <w:right w:val="single" w:sz="4" w:space="0" w:color="auto"/>
            </w:tcBorders>
          </w:tcPr>
          <w:p w:rsidR="00EE7245" w:rsidRPr="00012880" w:rsidRDefault="00EE7245" w:rsidP="00EE7245">
            <w:pPr>
              <w:jc w:val="left"/>
              <w:rPr>
                <w:rFonts w:cs="Arial"/>
              </w:rPr>
            </w:pPr>
            <w:r w:rsidRPr="00012880">
              <w:rPr>
                <w:rFonts w:cs="Arial"/>
                <w:bCs/>
              </w:rPr>
              <w:t>The LAPF Strategic Investment Forum</w:t>
            </w:r>
          </w:p>
        </w:tc>
        <w:tc>
          <w:tcPr>
            <w:tcW w:w="2268" w:type="dxa"/>
            <w:tcBorders>
              <w:top w:val="single" w:sz="4" w:space="0" w:color="auto"/>
              <w:left w:val="single" w:sz="4" w:space="0" w:color="auto"/>
              <w:bottom w:val="single" w:sz="4" w:space="0" w:color="auto"/>
              <w:right w:val="single" w:sz="4" w:space="0" w:color="auto"/>
            </w:tcBorders>
          </w:tcPr>
          <w:p w:rsidR="00EE7245" w:rsidRPr="00012880" w:rsidRDefault="00EE7245" w:rsidP="00EE7245">
            <w:pPr>
              <w:jc w:val="left"/>
              <w:rPr>
                <w:rFonts w:cs="Arial"/>
              </w:rPr>
            </w:pPr>
            <w:r w:rsidRPr="00012880">
              <w:rPr>
                <w:rFonts w:cs="Arial"/>
                <w:bCs/>
              </w:rPr>
              <w:t>The Grove, Hertfordshire</w:t>
            </w:r>
          </w:p>
        </w:tc>
        <w:tc>
          <w:tcPr>
            <w:tcW w:w="993" w:type="dxa"/>
            <w:shd w:val="clear" w:color="auto" w:fill="auto"/>
          </w:tcPr>
          <w:p w:rsidR="00EE7245" w:rsidRDefault="00EE7245" w:rsidP="00C16643">
            <w:pPr>
              <w:jc w:val="center"/>
              <w:rPr>
                <w:rFonts w:cs="Arial"/>
              </w:rPr>
            </w:pPr>
            <w:r>
              <w:rPr>
                <w:rFonts w:cs="Arial"/>
              </w:rPr>
              <w:t>1</w:t>
            </w:r>
          </w:p>
        </w:tc>
        <w:tc>
          <w:tcPr>
            <w:tcW w:w="992" w:type="dxa"/>
            <w:shd w:val="clear" w:color="auto" w:fill="auto"/>
          </w:tcPr>
          <w:p w:rsidR="00EE7245" w:rsidRPr="00F2565D" w:rsidRDefault="00EE7245" w:rsidP="00C16643">
            <w:pPr>
              <w:jc w:val="center"/>
              <w:rPr>
                <w:rFonts w:cs="Arial"/>
              </w:rPr>
            </w:pPr>
            <w:r>
              <w:rPr>
                <w:rFonts w:cs="Arial"/>
              </w:rPr>
              <w:t>0</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27 July 2017</w:t>
            </w:r>
          </w:p>
        </w:tc>
        <w:tc>
          <w:tcPr>
            <w:tcW w:w="2976"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Workshop on LCPF Risk Register</w:t>
            </w:r>
          </w:p>
        </w:tc>
        <w:tc>
          <w:tcPr>
            <w:tcW w:w="2268"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County Hall, Preston</w:t>
            </w:r>
          </w:p>
        </w:tc>
        <w:tc>
          <w:tcPr>
            <w:tcW w:w="993" w:type="dxa"/>
            <w:shd w:val="clear" w:color="auto" w:fill="auto"/>
          </w:tcPr>
          <w:p w:rsidR="00EE7245" w:rsidRPr="00F2565D" w:rsidRDefault="00EE7245" w:rsidP="00C16643">
            <w:pPr>
              <w:jc w:val="center"/>
              <w:rPr>
                <w:rFonts w:cs="Arial"/>
              </w:rPr>
            </w:pPr>
            <w:r>
              <w:rPr>
                <w:rFonts w:cs="Arial"/>
              </w:rPr>
              <w:t>10</w:t>
            </w:r>
          </w:p>
        </w:tc>
        <w:tc>
          <w:tcPr>
            <w:tcW w:w="992" w:type="dxa"/>
            <w:shd w:val="clear" w:color="auto" w:fill="auto"/>
          </w:tcPr>
          <w:p w:rsidR="00EE7245" w:rsidRPr="00F2565D" w:rsidRDefault="00EE7245" w:rsidP="00C16643">
            <w:pPr>
              <w:jc w:val="center"/>
              <w:rPr>
                <w:rFonts w:cs="Arial"/>
              </w:rPr>
            </w:pPr>
            <w:r>
              <w:rPr>
                <w:rFonts w:cs="Arial"/>
              </w:rPr>
              <w:t>4</w:t>
            </w:r>
          </w:p>
        </w:tc>
      </w:tr>
      <w:tr w:rsidR="00EE7245" w:rsidRPr="00F2565D" w:rsidTr="00EE7245">
        <w:tc>
          <w:tcPr>
            <w:tcW w:w="2410" w:type="dxa"/>
          </w:tcPr>
          <w:p w:rsidR="00EE7245" w:rsidRPr="00ED7B2B" w:rsidRDefault="00EE7245" w:rsidP="00EE7245">
            <w:pPr>
              <w:jc w:val="left"/>
              <w:rPr>
                <w:rFonts w:cs="Arial"/>
              </w:rPr>
            </w:pPr>
            <w:r>
              <w:rPr>
                <w:rFonts w:cs="Arial"/>
              </w:rPr>
              <w:t>7-8 September 2017</w:t>
            </w:r>
          </w:p>
        </w:tc>
        <w:tc>
          <w:tcPr>
            <w:tcW w:w="2976" w:type="dxa"/>
          </w:tcPr>
          <w:p w:rsidR="00EE7245" w:rsidRPr="00ED7B2B" w:rsidRDefault="00EE7245" w:rsidP="00EE7245">
            <w:pPr>
              <w:jc w:val="left"/>
              <w:rPr>
                <w:rFonts w:cs="Arial"/>
              </w:rPr>
            </w:pPr>
            <w:r>
              <w:rPr>
                <w:rFonts w:cs="Arial"/>
              </w:rPr>
              <w:t xml:space="preserve">LGC Investment Summit 'Navigating the new landscape' </w:t>
            </w:r>
          </w:p>
        </w:tc>
        <w:tc>
          <w:tcPr>
            <w:tcW w:w="2268" w:type="dxa"/>
          </w:tcPr>
          <w:p w:rsidR="00EE7245" w:rsidRPr="00ED7B2B" w:rsidRDefault="00EE7245" w:rsidP="00EE7245">
            <w:pPr>
              <w:jc w:val="left"/>
              <w:rPr>
                <w:rFonts w:cs="Arial"/>
              </w:rPr>
            </w:pPr>
            <w:r>
              <w:rPr>
                <w:rFonts w:cs="Arial"/>
              </w:rPr>
              <w:t>Celtic Manor Resort, Newport, South Wales.</w:t>
            </w:r>
          </w:p>
        </w:tc>
        <w:tc>
          <w:tcPr>
            <w:tcW w:w="993" w:type="dxa"/>
            <w:shd w:val="clear" w:color="auto" w:fill="auto"/>
          </w:tcPr>
          <w:p w:rsidR="00EE7245" w:rsidRPr="00F2565D" w:rsidRDefault="00EE7245" w:rsidP="00C16643">
            <w:pPr>
              <w:jc w:val="center"/>
              <w:rPr>
                <w:rFonts w:cs="Arial"/>
              </w:rPr>
            </w:pPr>
            <w:r>
              <w:rPr>
                <w:rFonts w:cs="Arial"/>
              </w:rPr>
              <w:t>2</w:t>
            </w:r>
          </w:p>
        </w:tc>
        <w:tc>
          <w:tcPr>
            <w:tcW w:w="992" w:type="dxa"/>
            <w:shd w:val="clear" w:color="auto" w:fill="auto"/>
          </w:tcPr>
          <w:p w:rsidR="00EE7245" w:rsidRPr="00F2565D" w:rsidRDefault="00EE7245" w:rsidP="00C16643">
            <w:pPr>
              <w:jc w:val="center"/>
              <w:rPr>
                <w:rFonts w:cs="Arial"/>
              </w:rPr>
            </w:pPr>
            <w:r>
              <w:rPr>
                <w:rFonts w:cs="Arial"/>
              </w:rPr>
              <w:t>0</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19 September 2017</w:t>
            </w:r>
          </w:p>
        </w:tc>
        <w:tc>
          <w:tcPr>
            <w:tcW w:w="2976" w:type="dxa"/>
            <w:tcBorders>
              <w:top w:val="single" w:sz="4" w:space="0" w:color="auto"/>
              <w:left w:val="single" w:sz="4" w:space="0" w:color="auto"/>
              <w:bottom w:val="single" w:sz="4" w:space="0" w:color="auto"/>
              <w:right w:val="single" w:sz="4" w:space="0" w:color="auto"/>
            </w:tcBorders>
          </w:tcPr>
          <w:p w:rsidR="00EE7245" w:rsidRPr="004D3319" w:rsidRDefault="00EE7245" w:rsidP="00EE7245">
            <w:pPr>
              <w:jc w:val="left"/>
              <w:rPr>
                <w:rFonts w:cs="Arial"/>
                <w:bCs/>
              </w:rPr>
            </w:pPr>
            <w:r w:rsidRPr="004D3319">
              <w:rPr>
                <w:rFonts w:cs="Arial"/>
                <w:bCs/>
              </w:rPr>
              <w:t xml:space="preserve">LGPS Pension Board Seminar </w:t>
            </w:r>
          </w:p>
        </w:tc>
        <w:tc>
          <w:tcPr>
            <w:tcW w:w="2268"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PLSA offices, London</w:t>
            </w:r>
          </w:p>
        </w:tc>
        <w:tc>
          <w:tcPr>
            <w:tcW w:w="993" w:type="dxa"/>
            <w:shd w:val="clear" w:color="auto" w:fill="auto"/>
          </w:tcPr>
          <w:p w:rsidR="00EE7245" w:rsidRDefault="00EE7245" w:rsidP="00C16643">
            <w:pPr>
              <w:jc w:val="center"/>
              <w:rPr>
                <w:rFonts w:cs="Arial"/>
              </w:rPr>
            </w:pPr>
            <w:r>
              <w:rPr>
                <w:rFonts w:cs="Arial"/>
              </w:rPr>
              <w:t>0</w:t>
            </w:r>
          </w:p>
        </w:tc>
        <w:tc>
          <w:tcPr>
            <w:tcW w:w="992" w:type="dxa"/>
            <w:shd w:val="clear" w:color="auto" w:fill="auto"/>
          </w:tcPr>
          <w:p w:rsidR="00EE7245" w:rsidRPr="00F2565D" w:rsidRDefault="00EE7245" w:rsidP="00C16643">
            <w:pPr>
              <w:jc w:val="center"/>
              <w:rPr>
                <w:rFonts w:cs="Arial"/>
              </w:rPr>
            </w:pPr>
            <w:r>
              <w:rPr>
                <w:rFonts w:cs="Arial"/>
              </w:rPr>
              <w:t>1</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20 September 2017</w:t>
            </w:r>
          </w:p>
        </w:tc>
        <w:tc>
          <w:tcPr>
            <w:tcW w:w="2976"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Workshop on LPP Strategic Budget &amp; Accts</w:t>
            </w:r>
          </w:p>
        </w:tc>
        <w:tc>
          <w:tcPr>
            <w:tcW w:w="2268"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County Hall, Preston</w:t>
            </w:r>
          </w:p>
        </w:tc>
        <w:tc>
          <w:tcPr>
            <w:tcW w:w="993" w:type="dxa"/>
            <w:shd w:val="clear" w:color="auto" w:fill="auto"/>
          </w:tcPr>
          <w:p w:rsidR="00EE7245" w:rsidRPr="00F2565D" w:rsidRDefault="00EE7245" w:rsidP="00C16643">
            <w:pPr>
              <w:jc w:val="center"/>
              <w:rPr>
                <w:rFonts w:cs="Arial"/>
              </w:rPr>
            </w:pPr>
            <w:r>
              <w:rPr>
                <w:rFonts w:cs="Arial"/>
              </w:rPr>
              <w:t>14</w:t>
            </w:r>
          </w:p>
        </w:tc>
        <w:tc>
          <w:tcPr>
            <w:tcW w:w="992" w:type="dxa"/>
            <w:shd w:val="clear" w:color="auto" w:fill="auto"/>
          </w:tcPr>
          <w:p w:rsidR="00EE7245" w:rsidRPr="00F2565D" w:rsidRDefault="00EE7245" w:rsidP="00C16643">
            <w:pPr>
              <w:jc w:val="center"/>
              <w:rPr>
                <w:rFonts w:cs="Arial"/>
              </w:rPr>
            </w:pPr>
            <w:r>
              <w:rPr>
                <w:rFonts w:cs="Arial"/>
              </w:rPr>
              <w:t>3</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rPr>
            </w:pPr>
            <w:r>
              <w:rPr>
                <w:rFonts w:cs="Arial"/>
              </w:rPr>
              <w:t>27 September 2017</w:t>
            </w:r>
          </w:p>
        </w:tc>
        <w:tc>
          <w:tcPr>
            <w:tcW w:w="2976" w:type="dxa"/>
            <w:tcBorders>
              <w:top w:val="single" w:sz="4" w:space="0" w:color="auto"/>
              <w:left w:val="single" w:sz="4" w:space="0" w:color="auto"/>
              <w:bottom w:val="single" w:sz="4" w:space="0" w:color="auto"/>
              <w:right w:val="single" w:sz="4" w:space="0" w:color="auto"/>
            </w:tcBorders>
          </w:tcPr>
          <w:p w:rsidR="00EE7245" w:rsidRPr="006336C3" w:rsidRDefault="00EE7245" w:rsidP="00EE7245">
            <w:pPr>
              <w:jc w:val="left"/>
              <w:rPr>
                <w:rFonts w:cs="Arial"/>
              </w:rPr>
            </w:pPr>
            <w:r w:rsidRPr="006336C3">
              <w:rPr>
                <w:rFonts w:cs="Arial"/>
                <w:bCs/>
              </w:rPr>
              <w:t>Introduction to the LGPS</w:t>
            </w:r>
          </w:p>
        </w:tc>
        <w:tc>
          <w:tcPr>
            <w:tcW w:w="2268" w:type="dxa"/>
            <w:tcBorders>
              <w:top w:val="single" w:sz="4" w:space="0" w:color="auto"/>
              <w:left w:val="single" w:sz="4" w:space="0" w:color="auto"/>
              <w:bottom w:val="single" w:sz="4" w:space="0" w:color="auto"/>
              <w:right w:val="single" w:sz="4" w:space="0" w:color="auto"/>
            </w:tcBorders>
          </w:tcPr>
          <w:p w:rsidR="00EE7245" w:rsidRPr="006336C3" w:rsidRDefault="00EE7245" w:rsidP="00EE7245">
            <w:pPr>
              <w:jc w:val="left"/>
              <w:rPr>
                <w:rFonts w:cs="Arial"/>
              </w:rPr>
            </w:pPr>
            <w:r w:rsidRPr="006336C3">
              <w:rPr>
                <w:rFonts w:cs="Arial"/>
                <w:bCs/>
              </w:rPr>
              <w:t>Northern Trust Offices, Canary Wharf, London</w:t>
            </w:r>
          </w:p>
        </w:tc>
        <w:tc>
          <w:tcPr>
            <w:tcW w:w="993" w:type="dxa"/>
            <w:shd w:val="clear" w:color="auto" w:fill="auto"/>
          </w:tcPr>
          <w:p w:rsidR="00EE7245" w:rsidRPr="00F2565D" w:rsidRDefault="00EE7245" w:rsidP="00C16643">
            <w:pPr>
              <w:jc w:val="center"/>
              <w:rPr>
                <w:rFonts w:cs="Arial"/>
              </w:rPr>
            </w:pPr>
            <w:r>
              <w:rPr>
                <w:rFonts w:cs="Arial"/>
              </w:rPr>
              <w:t>3</w:t>
            </w:r>
          </w:p>
        </w:tc>
        <w:tc>
          <w:tcPr>
            <w:tcW w:w="992" w:type="dxa"/>
            <w:shd w:val="clear" w:color="auto" w:fill="auto"/>
          </w:tcPr>
          <w:p w:rsidR="00EE7245" w:rsidRPr="00F2565D" w:rsidRDefault="00EE7245" w:rsidP="00C16643">
            <w:pPr>
              <w:jc w:val="center"/>
              <w:rPr>
                <w:rFonts w:cs="Arial"/>
              </w:rPr>
            </w:pPr>
            <w:r>
              <w:rPr>
                <w:rFonts w:cs="Arial"/>
              </w:rPr>
              <w:t>0</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bCs/>
              </w:rPr>
            </w:pPr>
            <w:r w:rsidRPr="00BD27E9">
              <w:rPr>
                <w:rFonts w:cs="Arial"/>
                <w:bCs/>
              </w:rPr>
              <w:t>11 Oct</w:t>
            </w:r>
            <w:r>
              <w:rPr>
                <w:rFonts w:cs="Arial"/>
                <w:bCs/>
              </w:rPr>
              <w:t>ober</w:t>
            </w:r>
            <w:r w:rsidRPr="00BD27E9">
              <w:rPr>
                <w:rFonts w:cs="Arial"/>
                <w:bCs/>
              </w:rPr>
              <w:t xml:space="preserve"> 2017</w:t>
            </w:r>
          </w:p>
        </w:tc>
        <w:tc>
          <w:tcPr>
            <w:tcW w:w="2976"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bCs/>
              </w:rPr>
            </w:pPr>
            <w:r w:rsidRPr="00BD27E9">
              <w:rPr>
                <w:rFonts w:cs="Arial"/>
                <w:bCs/>
              </w:rPr>
              <w:t>Local Gov</w:t>
            </w:r>
            <w:r>
              <w:rPr>
                <w:rFonts w:cs="Arial"/>
                <w:bCs/>
              </w:rPr>
              <w:t>ernment</w:t>
            </w:r>
            <w:r w:rsidRPr="00BD27E9">
              <w:rPr>
                <w:rFonts w:cs="Arial"/>
                <w:bCs/>
              </w:rPr>
              <w:t xml:space="preserve"> Pension Investment Forum</w:t>
            </w:r>
          </w:p>
        </w:tc>
        <w:tc>
          <w:tcPr>
            <w:tcW w:w="2268"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rPr>
            </w:pPr>
            <w:r w:rsidRPr="00BD27E9">
              <w:rPr>
                <w:rFonts w:cs="Arial"/>
                <w:bCs/>
              </w:rPr>
              <w:t>Hilton Tower Bridge Hotel</w:t>
            </w:r>
            <w:r>
              <w:rPr>
                <w:rFonts w:cs="Arial"/>
                <w:bCs/>
              </w:rPr>
              <w:t>,</w:t>
            </w:r>
            <w:r w:rsidRPr="00BD27E9">
              <w:rPr>
                <w:rFonts w:cs="Arial"/>
                <w:bCs/>
              </w:rPr>
              <w:t xml:space="preserve"> London</w:t>
            </w:r>
          </w:p>
        </w:tc>
        <w:tc>
          <w:tcPr>
            <w:tcW w:w="993" w:type="dxa"/>
            <w:shd w:val="clear" w:color="auto" w:fill="auto"/>
          </w:tcPr>
          <w:p w:rsidR="00EE7245" w:rsidRPr="00F2565D" w:rsidRDefault="00EE7245" w:rsidP="00C16643">
            <w:pPr>
              <w:jc w:val="center"/>
              <w:rPr>
                <w:rFonts w:cs="Arial"/>
              </w:rPr>
            </w:pPr>
            <w:r>
              <w:rPr>
                <w:rFonts w:cs="Arial"/>
              </w:rPr>
              <w:t>3</w:t>
            </w:r>
          </w:p>
        </w:tc>
        <w:tc>
          <w:tcPr>
            <w:tcW w:w="992" w:type="dxa"/>
            <w:shd w:val="clear" w:color="auto" w:fill="auto"/>
          </w:tcPr>
          <w:p w:rsidR="00EE7245" w:rsidRPr="00F2565D" w:rsidRDefault="00EE7245" w:rsidP="00C16643">
            <w:pPr>
              <w:jc w:val="center"/>
              <w:rPr>
                <w:rFonts w:cs="Arial"/>
              </w:rPr>
            </w:pPr>
            <w:r>
              <w:rPr>
                <w:rFonts w:cs="Arial"/>
              </w:rPr>
              <w:t>0</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rPr>
            </w:pPr>
            <w:r w:rsidRPr="003841E4">
              <w:rPr>
                <w:rFonts w:cs="Arial"/>
                <w:bCs/>
              </w:rPr>
              <w:t>18</w:t>
            </w:r>
            <w:r>
              <w:rPr>
                <w:rFonts w:cs="Arial"/>
                <w:bCs/>
              </w:rPr>
              <w:t>-</w:t>
            </w:r>
            <w:r w:rsidRPr="003841E4">
              <w:rPr>
                <w:rFonts w:cs="Arial"/>
                <w:bCs/>
              </w:rPr>
              <w:t>20 Oct</w:t>
            </w:r>
            <w:r>
              <w:rPr>
                <w:rFonts w:cs="Arial"/>
                <w:bCs/>
              </w:rPr>
              <w:t>ober</w:t>
            </w:r>
            <w:r w:rsidRPr="003841E4">
              <w:rPr>
                <w:rFonts w:cs="Arial"/>
                <w:bCs/>
              </w:rPr>
              <w:t xml:space="preserve"> 2017</w:t>
            </w:r>
          </w:p>
        </w:tc>
        <w:tc>
          <w:tcPr>
            <w:tcW w:w="2976"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rPr>
            </w:pPr>
            <w:r w:rsidRPr="003841E4">
              <w:rPr>
                <w:rFonts w:cs="Arial"/>
                <w:bCs/>
              </w:rPr>
              <w:t>Annual Conference and Exhibition</w:t>
            </w:r>
          </w:p>
        </w:tc>
        <w:tc>
          <w:tcPr>
            <w:tcW w:w="2268"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rPr>
            </w:pPr>
            <w:r w:rsidRPr="003841E4">
              <w:rPr>
                <w:rFonts w:cs="Arial"/>
              </w:rPr>
              <w:t>Manchester</w:t>
            </w:r>
          </w:p>
        </w:tc>
        <w:tc>
          <w:tcPr>
            <w:tcW w:w="993" w:type="dxa"/>
            <w:shd w:val="clear" w:color="auto" w:fill="auto"/>
          </w:tcPr>
          <w:p w:rsidR="00EE7245" w:rsidRPr="00F2565D" w:rsidRDefault="00EE7245" w:rsidP="00C16643">
            <w:pPr>
              <w:jc w:val="center"/>
              <w:rPr>
                <w:rFonts w:cs="Arial"/>
              </w:rPr>
            </w:pPr>
            <w:r>
              <w:rPr>
                <w:rFonts w:cs="Arial"/>
              </w:rPr>
              <w:t>3</w:t>
            </w:r>
          </w:p>
        </w:tc>
        <w:tc>
          <w:tcPr>
            <w:tcW w:w="992" w:type="dxa"/>
            <w:shd w:val="clear" w:color="auto" w:fill="auto"/>
          </w:tcPr>
          <w:p w:rsidR="00EE7245" w:rsidRPr="00F2565D" w:rsidRDefault="00EE7245" w:rsidP="00C16643">
            <w:pPr>
              <w:jc w:val="center"/>
              <w:rPr>
                <w:rFonts w:cs="Arial"/>
              </w:rPr>
            </w:pPr>
            <w:r>
              <w:rPr>
                <w:rFonts w:cs="Arial"/>
              </w:rPr>
              <w:t>1</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bCs/>
              </w:rPr>
            </w:pPr>
            <w:r>
              <w:rPr>
                <w:rFonts w:cs="Arial"/>
                <w:bCs/>
              </w:rPr>
              <w:t>2 November 2017</w:t>
            </w:r>
          </w:p>
        </w:tc>
        <w:tc>
          <w:tcPr>
            <w:tcW w:w="2976"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bCs/>
              </w:rPr>
            </w:pPr>
            <w:r>
              <w:rPr>
                <w:rFonts w:cs="Arial"/>
                <w:bCs/>
              </w:rPr>
              <w:t>Workshop on revised Investment Strategy</w:t>
            </w:r>
          </w:p>
        </w:tc>
        <w:tc>
          <w:tcPr>
            <w:tcW w:w="2268"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rPr>
            </w:pPr>
            <w:r>
              <w:rPr>
                <w:rFonts w:cs="Arial"/>
              </w:rPr>
              <w:t>County Hall, Preston</w:t>
            </w:r>
          </w:p>
        </w:tc>
        <w:tc>
          <w:tcPr>
            <w:tcW w:w="993" w:type="dxa"/>
            <w:shd w:val="clear" w:color="auto" w:fill="auto"/>
          </w:tcPr>
          <w:p w:rsidR="00EE7245" w:rsidRPr="00F2565D" w:rsidRDefault="00EE7245" w:rsidP="00C16643">
            <w:pPr>
              <w:jc w:val="center"/>
              <w:rPr>
                <w:rFonts w:cs="Arial"/>
              </w:rPr>
            </w:pPr>
            <w:r>
              <w:rPr>
                <w:rFonts w:cs="Arial"/>
              </w:rPr>
              <w:t>10</w:t>
            </w:r>
          </w:p>
        </w:tc>
        <w:tc>
          <w:tcPr>
            <w:tcW w:w="992" w:type="dxa"/>
            <w:shd w:val="clear" w:color="auto" w:fill="auto"/>
          </w:tcPr>
          <w:p w:rsidR="00EE7245" w:rsidRPr="00F2565D" w:rsidRDefault="00EE7245" w:rsidP="00C16643">
            <w:pPr>
              <w:jc w:val="center"/>
              <w:rPr>
                <w:rFonts w:cs="Arial"/>
              </w:rPr>
            </w:pPr>
            <w:r>
              <w:rPr>
                <w:rFonts w:cs="Arial"/>
              </w:rPr>
              <w:t>5</w:t>
            </w:r>
          </w:p>
        </w:tc>
      </w:tr>
      <w:tr w:rsidR="00EE7245" w:rsidRPr="00F2565D" w:rsidTr="00EE7245">
        <w:tc>
          <w:tcPr>
            <w:tcW w:w="2410" w:type="dxa"/>
          </w:tcPr>
          <w:p w:rsidR="00EE7245" w:rsidRPr="008F752F" w:rsidRDefault="00EE7245" w:rsidP="00EE7245">
            <w:pPr>
              <w:jc w:val="left"/>
              <w:rPr>
                <w:rFonts w:cs="Arial"/>
              </w:rPr>
            </w:pPr>
            <w:r w:rsidRPr="00D6198A">
              <w:rPr>
                <w:rFonts w:cs="Arial"/>
              </w:rPr>
              <w:t>10 Nov</w:t>
            </w:r>
            <w:r>
              <w:rPr>
                <w:rFonts w:cs="Arial"/>
              </w:rPr>
              <w:t>ember</w:t>
            </w:r>
            <w:r w:rsidRPr="00D6198A">
              <w:rPr>
                <w:rFonts w:cs="Arial"/>
              </w:rPr>
              <w:t xml:space="preserve"> 2017</w:t>
            </w:r>
          </w:p>
        </w:tc>
        <w:tc>
          <w:tcPr>
            <w:tcW w:w="2976" w:type="dxa"/>
          </w:tcPr>
          <w:p w:rsidR="00EE7245" w:rsidRPr="008F752F" w:rsidRDefault="00EE7245" w:rsidP="00EE7245">
            <w:pPr>
              <w:jc w:val="left"/>
              <w:rPr>
                <w:rFonts w:cs="Arial"/>
              </w:rPr>
            </w:pPr>
            <w:r>
              <w:rPr>
                <w:rFonts w:cs="Arial"/>
              </w:rPr>
              <w:t>Local Pension Board Member Seminar</w:t>
            </w:r>
          </w:p>
        </w:tc>
        <w:tc>
          <w:tcPr>
            <w:tcW w:w="2268" w:type="dxa"/>
          </w:tcPr>
          <w:p w:rsidR="00EE7245" w:rsidRPr="008F752F" w:rsidRDefault="00EE7245" w:rsidP="00EE7245">
            <w:pPr>
              <w:jc w:val="left"/>
              <w:rPr>
                <w:rFonts w:cs="Arial"/>
              </w:rPr>
            </w:pPr>
            <w:r>
              <w:rPr>
                <w:rFonts w:cs="Arial"/>
              </w:rPr>
              <w:t>Liverpool</w:t>
            </w:r>
          </w:p>
        </w:tc>
        <w:tc>
          <w:tcPr>
            <w:tcW w:w="993" w:type="dxa"/>
            <w:shd w:val="clear" w:color="auto" w:fill="auto"/>
          </w:tcPr>
          <w:p w:rsidR="00EE7245" w:rsidRDefault="00EE7245" w:rsidP="00C16643">
            <w:pPr>
              <w:jc w:val="center"/>
              <w:rPr>
                <w:rFonts w:cs="Arial"/>
              </w:rPr>
            </w:pPr>
            <w:r>
              <w:rPr>
                <w:rFonts w:cs="Arial"/>
              </w:rPr>
              <w:t>0</w:t>
            </w:r>
          </w:p>
        </w:tc>
        <w:tc>
          <w:tcPr>
            <w:tcW w:w="992" w:type="dxa"/>
            <w:shd w:val="clear" w:color="auto" w:fill="auto"/>
          </w:tcPr>
          <w:p w:rsidR="00EE7245" w:rsidRPr="00F2565D" w:rsidRDefault="00EE7245" w:rsidP="00C16643">
            <w:pPr>
              <w:jc w:val="center"/>
              <w:rPr>
                <w:rFonts w:cs="Arial"/>
              </w:rPr>
            </w:pPr>
            <w:r>
              <w:rPr>
                <w:rFonts w:cs="Arial"/>
              </w:rPr>
              <w:t>2</w:t>
            </w:r>
          </w:p>
        </w:tc>
      </w:tr>
      <w:tr w:rsidR="00EE7245" w:rsidTr="00EE7245">
        <w:tc>
          <w:tcPr>
            <w:tcW w:w="2410"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15 November 2017</w:t>
            </w:r>
          </w:p>
        </w:tc>
        <w:tc>
          <w:tcPr>
            <w:tcW w:w="2976"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LGPS Practitioners Conference</w:t>
            </w:r>
          </w:p>
        </w:tc>
        <w:tc>
          <w:tcPr>
            <w:tcW w:w="2268"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rPr>
            </w:pPr>
            <w:r>
              <w:rPr>
                <w:rFonts w:cs="Arial"/>
              </w:rPr>
              <w:t>Hallmark Hotel, Leyland</w:t>
            </w:r>
          </w:p>
        </w:tc>
        <w:tc>
          <w:tcPr>
            <w:tcW w:w="993" w:type="dxa"/>
            <w:shd w:val="clear" w:color="auto" w:fill="auto"/>
          </w:tcPr>
          <w:p w:rsidR="00EE7245" w:rsidRDefault="00EE7245" w:rsidP="00C16643">
            <w:pPr>
              <w:jc w:val="center"/>
              <w:rPr>
                <w:rFonts w:cs="Arial"/>
              </w:rPr>
            </w:pPr>
            <w:r>
              <w:rPr>
                <w:rFonts w:cs="Arial"/>
              </w:rPr>
              <w:t>0</w:t>
            </w:r>
          </w:p>
        </w:tc>
        <w:tc>
          <w:tcPr>
            <w:tcW w:w="992" w:type="dxa"/>
            <w:shd w:val="clear" w:color="auto" w:fill="auto"/>
          </w:tcPr>
          <w:p w:rsidR="00EE7245" w:rsidRDefault="00EE7245" w:rsidP="00C16643">
            <w:pPr>
              <w:jc w:val="center"/>
              <w:rPr>
                <w:rFonts w:cs="Arial"/>
              </w:rPr>
            </w:pPr>
            <w:r>
              <w:rPr>
                <w:rFonts w:cs="Arial"/>
              </w:rPr>
              <w:t>3</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23 November 2017</w:t>
            </w:r>
          </w:p>
        </w:tc>
        <w:tc>
          <w:tcPr>
            <w:tcW w:w="2976"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 xml:space="preserve">Workshop on </w:t>
            </w:r>
            <w:r>
              <w:rPr>
                <w:rFonts w:cs="Arial"/>
              </w:rPr>
              <w:t xml:space="preserve">General Data Protection Regulations and the </w:t>
            </w:r>
            <w:r>
              <w:rPr>
                <w:rFonts w:cs="Arial"/>
                <w:bdr w:val="none" w:sz="0" w:space="0" w:color="auto" w:frame="1"/>
              </w:rPr>
              <w:lastRenderedPageBreak/>
              <w:t>Markets in Financial Instruments Derivative.</w:t>
            </w:r>
            <w:r>
              <w:rPr>
                <w:rFonts w:ascii="Times New Roman" w:hAnsi="Times New Roman"/>
                <w:b/>
                <w:bCs/>
              </w:rPr>
              <w:t xml:space="preserve">  </w:t>
            </w:r>
          </w:p>
        </w:tc>
        <w:tc>
          <w:tcPr>
            <w:tcW w:w="2268"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rPr>
            </w:pPr>
            <w:r>
              <w:rPr>
                <w:rFonts w:cs="Arial"/>
              </w:rPr>
              <w:lastRenderedPageBreak/>
              <w:t>County Hall, Preston</w:t>
            </w:r>
          </w:p>
        </w:tc>
        <w:tc>
          <w:tcPr>
            <w:tcW w:w="993" w:type="dxa"/>
            <w:shd w:val="clear" w:color="auto" w:fill="auto"/>
          </w:tcPr>
          <w:p w:rsidR="00EE7245" w:rsidRPr="00F2565D" w:rsidRDefault="00EE7245" w:rsidP="00C16643">
            <w:pPr>
              <w:jc w:val="center"/>
              <w:rPr>
                <w:rFonts w:cs="Arial"/>
              </w:rPr>
            </w:pPr>
            <w:r>
              <w:rPr>
                <w:rFonts w:cs="Arial"/>
              </w:rPr>
              <w:t>12</w:t>
            </w:r>
          </w:p>
        </w:tc>
        <w:tc>
          <w:tcPr>
            <w:tcW w:w="992" w:type="dxa"/>
            <w:shd w:val="clear" w:color="auto" w:fill="auto"/>
          </w:tcPr>
          <w:p w:rsidR="00EE7245" w:rsidRPr="00F2565D" w:rsidRDefault="00EE7245" w:rsidP="00C16643">
            <w:pPr>
              <w:jc w:val="center"/>
              <w:rPr>
                <w:rFonts w:cs="Arial"/>
              </w:rPr>
            </w:pPr>
            <w:r>
              <w:rPr>
                <w:rFonts w:cs="Arial"/>
              </w:rPr>
              <w:t>3</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rPr>
            </w:pPr>
            <w:r>
              <w:rPr>
                <w:rFonts w:cs="Arial"/>
              </w:rPr>
              <w:t>6-8 December 2017</w:t>
            </w:r>
          </w:p>
        </w:tc>
        <w:tc>
          <w:tcPr>
            <w:tcW w:w="2976"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rPr>
            </w:pPr>
            <w:r w:rsidRPr="00E8713B">
              <w:rPr>
                <w:rFonts w:cs="Arial"/>
                <w:bCs/>
              </w:rPr>
              <w:t>Annual Conf</w:t>
            </w:r>
            <w:r>
              <w:rPr>
                <w:rFonts w:cs="Arial"/>
                <w:bCs/>
              </w:rPr>
              <w:t>erence</w:t>
            </w:r>
            <w:r w:rsidRPr="00E8713B">
              <w:rPr>
                <w:rFonts w:cs="Arial"/>
                <w:bCs/>
              </w:rPr>
              <w:t xml:space="preserve"> (Responsible Investmen</w:t>
            </w:r>
            <w:r>
              <w:rPr>
                <w:rFonts w:cs="Arial"/>
                <w:bCs/>
              </w:rPr>
              <w:t>t)</w:t>
            </w:r>
          </w:p>
        </w:tc>
        <w:tc>
          <w:tcPr>
            <w:tcW w:w="2268" w:type="dxa"/>
            <w:tcBorders>
              <w:top w:val="single" w:sz="4" w:space="0" w:color="auto"/>
              <w:left w:val="single" w:sz="4" w:space="0" w:color="auto"/>
              <w:bottom w:val="single" w:sz="4" w:space="0" w:color="auto"/>
              <w:right w:val="single" w:sz="4" w:space="0" w:color="auto"/>
            </w:tcBorders>
          </w:tcPr>
          <w:p w:rsidR="00EE7245" w:rsidRPr="003841E4" w:rsidRDefault="00EE7245" w:rsidP="00EE7245">
            <w:pPr>
              <w:jc w:val="left"/>
              <w:rPr>
                <w:rFonts w:cs="Arial"/>
              </w:rPr>
            </w:pPr>
            <w:r>
              <w:rPr>
                <w:rFonts w:cs="Arial"/>
              </w:rPr>
              <w:t>Highcliff Marriott Hotel in Bournemouth</w:t>
            </w:r>
          </w:p>
        </w:tc>
        <w:tc>
          <w:tcPr>
            <w:tcW w:w="993" w:type="dxa"/>
            <w:shd w:val="clear" w:color="auto" w:fill="auto"/>
          </w:tcPr>
          <w:p w:rsidR="00EE7245" w:rsidRPr="00F2565D" w:rsidRDefault="00EE7245" w:rsidP="00C16643">
            <w:pPr>
              <w:jc w:val="center"/>
              <w:rPr>
                <w:rFonts w:cs="Arial"/>
              </w:rPr>
            </w:pPr>
            <w:r>
              <w:rPr>
                <w:rFonts w:cs="Arial"/>
              </w:rPr>
              <w:t>1</w:t>
            </w:r>
          </w:p>
        </w:tc>
        <w:tc>
          <w:tcPr>
            <w:tcW w:w="992" w:type="dxa"/>
            <w:shd w:val="clear" w:color="auto" w:fill="auto"/>
          </w:tcPr>
          <w:p w:rsidR="00EE7245" w:rsidRPr="00F2565D" w:rsidRDefault="00EE7245" w:rsidP="00C16643">
            <w:pPr>
              <w:jc w:val="center"/>
              <w:rPr>
                <w:rFonts w:cs="Arial"/>
              </w:rPr>
            </w:pPr>
            <w:r>
              <w:rPr>
                <w:rFonts w:cs="Arial"/>
              </w:rPr>
              <w:t>0</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30 January 2018</w:t>
            </w:r>
          </w:p>
        </w:tc>
        <w:tc>
          <w:tcPr>
            <w:tcW w:w="2976"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Workshop on Pension Law and Regulations – Where do I find the rules?</w:t>
            </w:r>
          </w:p>
        </w:tc>
        <w:tc>
          <w:tcPr>
            <w:tcW w:w="2268"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rPr>
            </w:pPr>
            <w:r>
              <w:rPr>
                <w:rFonts w:cs="Arial"/>
              </w:rPr>
              <w:t>County Hall, Preston</w:t>
            </w:r>
          </w:p>
        </w:tc>
        <w:tc>
          <w:tcPr>
            <w:tcW w:w="993" w:type="dxa"/>
            <w:shd w:val="clear" w:color="auto" w:fill="auto"/>
          </w:tcPr>
          <w:p w:rsidR="00EE7245" w:rsidRPr="00F2565D" w:rsidRDefault="00EE7245" w:rsidP="00C16643">
            <w:pPr>
              <w:jc w:val="center"/>
              <w:rPr>
                <w:rFonts w:cs="Arial"/>
              </w:rPr>
            </w:pPr>
            <w:r>
              <w:rPr>
                <w:rFonts w:cs="Arial"/>
              </w:rPr>
              <w:t>8</w:t>
            </w:r>
          </w:p>
        </w:tc>
        <w:tc>
          <w:tcPr>
            <w:tcW w:w="992" w:type="dxa"/>
            <w:shd w:val="clear" w:color="auto" w:fill="auto"/>
          </w:tcPr>
          <w:p w:rsidR="00EE7245" w:rsidRPr="00F2565D" w:rsidRDefault="00EE7245" w:rsidP="00C16643">
            <w:pPr>
              <w:jc w:val="center"/>
              <w:rPr>
                <w:rFonts w:cs="Arial"/>
              </w:rPr>
            </w:pPr>
            <w:r>
              <w:rPr>
                <w:rFonts w:cs="Arial"/>
              </w:rPr>
              <w:t>3</w:t>
            </w:r>
          </w:p>
        </w:tc>
      </w:tr>
      <w:tr w:rsidR="00EE7245" w:rsidRPr="00F2565D" w:rsidTr="00EE7245">
        <w:tc>
          <w:tcPr>
            <w:tcW w:w="2410" w:type="dxa"/>
          </w:tcPr>
          <w:p w:rsidR="00EE7245" w:rsidRDefault="00EE7245" w:rsidP="00EE7245">
            <w:pPr>
              <w:jc w:val="left"/>
              <w:rPr>
                <w:rFonts w:cs="Arial"/>
              </w:rPr>
            </w:pPr>
            <w:r>
              <w:rPr>
                <w:rFonts w:cs="Arial"/>
              </w:rPr>
              <w:t>1-2 March 2018</w:t>
            </w:r>
          </w:p>
        </w:tc>
        <w:tc>
          <w:tcPr>
            <w:tcW w:w="2976" w:type="dxa"/>
          </w:tcPr>
          <w:p w:rsidR="00EE7245" w:rsidRDefault="00EE7245" w:rsidP="00EE7245">
            <w:pPr>
              <w:jc w:val="left"/>
              <w:rPr>
                <w:rFonts w:cs="Arial"/>
              </w:rPr>
            </w:pPr>
            <w:r>
              <w:rPr>
                <w:rFonts w:cs="Arial"/>
              </w:rPr>
              <w:t>LGC Investment Seminar</w:t>
            </w:r>
          </w:p>
        </w:tc>
        <w:tc>
          <w:tcPr>
            <w:tcW w:w="2268" w:type="dxa"/>
          </w:tcPr>
          <w:p w:rsidR="00EE7245" w:rsidRDefault="00EE7245" w:rsidP="00EE7245">
            <w:pPr>
              <w:jc w:val="left"/>
              <w:rPr>
                <w:rFonts w:cs="Arial"/>
              </w:rPr>
            </w:pPr>
            <w:r>
              <w:rPr>
                <w:rFonts w:cs="Arial"/>
              </w:rPr>
              <w:t>Carden Park Hotel near Chester</w:t>
            </w:r>
          </w:p>
        </w:tc>
        <w:tc>
          <w:tcPr>
            <w:tcW w:w="993" w:type="dxa"/>
            <w:shd w:val="clear" w:color="auto" w:fill="auto"/>
          </w:tcPr>
          <w:p w:rsidR="00EE7245" w:rsidRPr="00F2565D" w:rsidRDefault="00EE7245" w:rsidP="00C16643">
            <w:pPr>
              <w:jc w:val="center"/>
              <w:rPr>
                <w:rFonts w:cs="Arial"/>
              </w:rPr>
            </w:pPr>
            <w:r>
              <w:rPr>
                <w:rFonts w:cs="Arial"/>
              </w:rPr>
              <w:t>2</w:t>
            </w:r>
          </w:p>
        </w:tc>
        <w:tc>
          <w:tcPr>
            <w:tcW w:w="992" w:type="dxa"/>
            <w:shd w:val="clear" w:color="auto" w:fill="auto"/>
          </w:tcPr>
          <w:p w:rsidR="00EE7245" w:rsidRPr="00F2565D" w:rsidRDefault="00EE7245" w:rsidP="00C16643">
            <w:pPr>
              <w:jc w:val="center"/>
              <w:rPr>
                <w:rFonts w:cs="Arial"/>
              </w:rPr>
            </w:pPr>
            <w:r>
              <w:rPr>
                <w:rFonts w:cs="Arial"/>
              </w:rPr>
              <w:t>0</w:t>
            </w:r>
          </w:p>
        </w:tc>
      </w:tr>
      <w:tr w:rsidR="00EE7245" w:rsidRPr="00F2565D" w:rsidTr="00EE7245">
        <w:tc>
          <w:tcPr>
            <w:tcW w:w="2410" w:type="dxa"/>
          </w:tcPr>
          <w:p w:rsidR="00EE7245" w:rsidRDefault="00EE7245" w:rsidP="00EE7245">
            <w:pPr>
              <w:jc w:val="left"/>
              <w:rPr>
                <w:rFonts w:cs="Arial"/>
              </w:rPr>
            </w:pPr>
            <w:r>
              <w:rPr>
                <w:rFonts w:cs="Arial"/>
              </w:rPr>
              <w:t>14 March 2018</w:t>
            </w:r>
          </w:p>
        </w:tc>
        <w:tc>
          <w:tcPr>
            <w:tcW w:w="2976" w:type="dxa"/>
          </w:tcPr>
          <w:p w:rsidR="00EE7245" w:rsidRDefault="00EE7245" w:rsidP="00EE7245">
            <w:pPr>
              <w:jc w:val="left"/>
              <w:rPr>
                <w:rFonts w:cs="Arial"/>
              </w:rPr>
            </w:pPr>
            <w:r>
              <w:rPr>
                <w:rFonts w:cs="Arial"/>
              </w:rPr>
              <w:t>Workshop on LPP Development</w:t>
            </w:r>
          </w:p>
        </w:tc>
        <w:tc>
          <w:tcPr>
            <w:tcW w:w="2268" w:type="dxa"/>
          </w:tcPr>
          <w:p w:rsidR="00EE7245" w:rsidRPr="000036B3" w:rsidRDefault="00EE7245" w:rsidP="00EE7245">
            <w:pPr>
              <w:jc w:val="left"/>
              <w:rPr>
                <w:rFonts w:cs="Arial"/>
              </w:rPr>
            </w:pPr>
            <w:r>
              <w:rPr>
                <w:rFonts w:cs="Arial"/>
              </w:rPr>
              <w:t>County Hall, Preston</w:t>
            </w:r>
          </w:p>
        </w:tc>
        <w:tc>
          <w:tcPr>
            <w:tcW w:w="993" w:type="dxa"/>
            <w:shd w:val="clear" w:color="auto" w:fill="auto"/>
          </w:tcPr>
          <w:p w:rsidR="00EE7245" w:rsidRPr="00F2565D" w:rsidRDefault="00EE7245" w:rsidP="00C16643">
            <w:pPr>
              <w:jc w:val="center"/>
              <w:rPr>
                <w:rFonts w:cs="Arial"/>
              </w:rPr>
            </w:pPr>
            <w:r>
              <w:rPr>
                <w:rFonts w:cs="Arial"/>
              </w:rPr>
              <w:t>10</w:t>
            </w:r>
          </w:p>
        </w:tc>
        <w:tc>
          <w:tcPr>
            <w:tcW w:w="992" w:type="dxa"/>
            <w:shd w:val="clear" w:color="auto" w:fill="auto"/>
          </w:tcPr>
          <w:p w:rsidR="00EE7245" w:rsidRPr="00F2565D" w:rsidRDefault="00EE7245" w:rsidP="00C16643">
            <w:pPr>
              <w:jc w:val="center"/>
              <w:rPr>
                <w:rFonts w:cs="Arial"/>
              </w:rPr>
            </w:pPr>
            <w:r>
              <w:rPr>
                <w:rFonts w:cs="Arial"/>
              </w:rPr>
              <w:t>2</w:t>
            </w:r>
          </w:p>
        </w:tc>
      </w:tr>
      <w:tr w:rsidR="00EE7245" w:rsidRPr="00F2565D" w:rsidTr="00EE7245">
        <w:tc>
          <w:tcPr>
            <w:tcW w:w="2410"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27 March 2018</w:t>
            </w:r>
          </w:p>
        </w:tc>
        <w:tc>
          <w:tcPr>
            <w:tcW w:w="2976" w:type="dxa"/>
            <w:tcBorders>
              <w:top w:val="single" w:sz="4" w:space="0" w:color="auto"/>
              <w:left w:val="single" w:sz="4" w:space="0" w:color="auto"/>
              <w:bottom w:val="single" w:sz="4" w:space="0" w:color="auto"/>
              <w:right w:val="single" w:sz="4" w:space="0" w:color="auto"/>
            </w:tcBorders>
          </w:tcPr>
          <w:p w:rsidR="00EE7245" w:rsidRDefault="00EE7245" w:rsidP="00EE7245">
            <w:pPr>
              <w:jc w:val="left"/>
              <w:rPr>
                <w:rFonts w:cs="Arial"/>
                <w:bCs/>
              </w:rPr>
            </w:pPr>
            <w:r>
              <w:rPr>
                <w:rFonts w:cs="Arial"/>
                <w:bCs/>
              </w:rPr>
              <w:t>Scheme Advisory Board Cross Pool Forum</w:t>
            </w:r>
          </w:p>
        </w:tc>
        <w:tc>
          <w:tcPr>
            <w:tcW w:w="2268" w:type="dxa"/>
          </w:tcPr>
          <w:p w:rsidR="00EE7245" w:rsidRDefault="00EE7245" w:rsidP="00EE7245">
            <w:pPr>
              <w:jc w:val="left"/>
              <w:rPr>
                <w:rFonts w:cs="Arial"/>
              </w:rPr>
            </w:pPr>
          </w:p>
        </w:tc>
        <w:tc>
          <w:tcPr>
            <w:tcW w:w="993" w:type="dxa"/>
            <w:shd w:val="clear" w:color="auto" w:fill="auto"/>
          </w:tcPr>
          <w:p w:rsidR="00EE7245" w:rsidRDefault="00EE7245" w:rsidP="00C16643">
            <w:pPr>
              <w:jc w:val="center"/>
              <w:rPr>
                <w:rFonts w:cs="Arial"/>
              </w:rPr>
            </w:pPr>
            <w:r>
              <w:rPr>
                <w:rFonts w:cs="Arial"/>
              </w:rPr>
              <w:t>0</w:t>
            </w:r>
          </w:p>
        </w:tc>
        <w:tc>
          <w:tcPr>
            <w:tcW w:w="992" w:type="dxa"/>
            <w:shd w:val="clear" w:color="auto" w:fill="auto"/>
          </w:tcPr>
          <w:p w:rsidR="00EE7245" w:rsidRPr="00F2565D" w:rsidRDefault="00EE7245" w:rsidP="00C16643">
            <w:pPr>
              <w:jc w:val="center"/>
              <w:rPr>
                <w:rFonts w:cs="Arial"/>
              </w:rPr>
            </w:pPr>
            <w:r>
              <w:rPr>
                <w:rFonts w:cs="Arial"/>
              </w:rPr>
              <w:t>1</w:t>
            </w:r>
          </w:p>
        </w:tc>
      </w:tr>
      <w:tr w:rsidR="00EE7245" w:rsidRPr="00F2565D" w:rsidTr="00EE7245">
        <w:tc>
          <w:tcPr>
            <w:tcW w:w="2410" w:type="dxa"/>
          </w:tcPr>
          <w:p w:rsidR="00EE7245" w:rsidRPr="00E677B7" w:rsidRDefault="00EE7245" w:rsidP="00EE7245">
            <w:pPr>
              <w:jc w:val="left"/>
              <w:rPr>
                <w:rFonts w:cs="Arial"/>
              </w:rPr>
            </w:pPr>
            <w:r w:rsidRPr="00E677B7">
              <w:rPr>
                <w:rFonts w:cs="Arial"/>
              </w:rPr>
              <w:t>11 April 2018</w:t>
            </w:r>
          </w:p>
        </w:tc>
        <w:tc>
          <w:tcPr>
            <w:tcW w:w="2976" w:type="dxa"/>
          </w:tcPr>
          <w:p w:rsidR="00EE7245" w:rsidRPr="00E677B7" w:rsidRDefault="00EE7245" w:rsidP="00EE7245">
            <w:pPr>
              <w:jc w:val="left"/>
              <w:rPr>
                <w:rFonts w:cs="Arial"/>
              </w:rPr>
            </w:pPr>
            <w:r w:rsidRPr="00E677B7">
              <w:rPr>
                <w:rFonts w:cs="Arial"/>
              </w:rPr>
              <w:t>Workshop on Management of the Property Investment portfolio</w:t>
            </w:r>
          </w:p>
        </w:tc>
        <w:tc>
          <w:tcPr>
            <w:tcW w:w="2268" w:type="dxa"/>
          </w:tcPr>
          <w:p w:rsidR="00EE7245" w:rsidRPr="00E677B7" w:rsidRDefault="00EE7245" w:rsidP="00EE7245">
            <w:pPr>
              <w:jc w:val="left"/>
              <w:rPr>
                <w:rFonts w:cs="Arial"/>
              </w:rPr>
            </w:pPr>
            <w:r w:rsidRPr="00E677B7">
              <w:rPr>
                <w:rFonts w:cs="Arial"/>
              </w:rPr>
              <w:t>County Hall, Preston.</w:t>
            </w:r>
          </w:p>
        </w:tc>
        <w:tc>
          <w:tcPr>
            <w:tcW w:w="993" w:type="dxa"/>
            <w:shd w:val="clear" w:color="auto" w:fill="auto"/>
          </w:tcPr>
          <w:p w:rsidR="00EE7245" w:rsidRPr="00F2565D" w:rsidRDefault="00EE7245" w:rsidP="00C16643">
            <w:pPr>
              <w:jc w:val="center"/>
              <w:rPr>
                <w:rFonts w:cs="Arial"/>
              </w:rPr>
            </w:pPr>
            <w:r>
              <w:rPr>
                <w:rFonts w:cs="Arial"/>
              </w:rPr>
              <w:t>10</w:t>
            </w:r>
          </w:p>
        </w:tc>
        <w:tc>
          <w:tcPr>
            <w:tcW w:w="992" w:type="dxa"/>
            <w:shd w:val="clear" w:color="auto" w:fill="auto"/>
          </w:tcPr>
          <w:p w:rsidR="00EE7245" w:rsidRPr="00F2565D" w:rsidRDefault="00EE7245" w:rsidP="00C16643">
            <w:pPr>
              <w:jc w:val="center"/>
              <w:rPr>
                <w:rFonts w:cs="Arial"/>
              </w:rPr>
            </w:pPr>
            <w:r>
              <w:rPr>
                <w:rFonts w:cs="Arial"/>
              </w:rPr>
              <w:t>4</w:t>
            </w:r>
          </w:p>
        </w:tc>
      </w:tr>
    </w:tbl>
    <w:p w:rsidR="00FF6F6A" w:rsidRDefault="00FF6F6A" w:rsidP="00FF6F6A"/>
    <w:p w:rsidR="00FF6F6A" w:rsidRDefault="00FF6F6A" w:rsidP="00FF6F6A"/>
    <w:p w:rsidR="00FF6F6A" w:rsidRDefault="00FF6F6A" w:rsidP="00FF6F6A"/>
    <w:p w:rsidR="00FF6F6A" w:rsidRDefault="00FF6F6A" w:rsidP="00FF6F6A"/>
    <w:p w:rsidR="00FF6F6A" w:rsidRDefault="00FF6F6A" w:rsidP="00FF6F6A">
      <w:pPr>
        <w:tabs>
          <w:tab w:val="left" w:pos="975"/>
        </w:tabs>
        <w:rPr>
          <w:rFonts w:cs="Arial"/>
        </w:rPr>
      </w:pPr>
    </w:p>
    <w:p w:rsidR="00FF6F6A" w:rsidRDefault="00FF6F6A" w:rsidP="00FF6F6A">
      <w:pPr>
        <w:tabs>
          <w:tab w:val="left" w:pos="975"/>
        </w:tabs>
        <w:sectPr w:rsidR="00FF6F6A" w:rsidSect="00FF6F6A">
          <w:pgSz w:w="11900" w:h="16840" w:code="9"/>
          <w:pgMar w:top="720" w:right="720" w:bottom="720" w:left="720" w:header="283" w:footer="283" w:gutter="0"/>
          <w:cols w:space="292"/>
          <w:docGrid w:linePitch="326"/>
        </w:sectPr>
      </w:pPr>
    </w:p>
    <w:p w:rsidR="00FF6F6A" w:rsidRPr="00BE3245" w:rsidRDefault="0023599A" w:rsidP="00FF6F6A">
      <w:pPr>
        <w:autoSpaceDE/>
        <w:autoSpaceDN/>
        <w:adjustRightInd/>
        <w:spacing w:after="0"/>
        <w:jc w:val="left"/>
        <w:rPr>
          <w:rFonts w:eastAsia="Times New Roman" w:cs="Times New Roman"/>
          <w:color w:val="auto"/>
          <w:sz w:val="32"/>
          <w:szCs w:val="32"/>
          <w:lang w:eastAsia="en-GB"/>
        </w:rPr>
      </w:pPr>
      <w:r>
        <w:rPr>
          <w:rFonts w:eastAsia="Times New Roman" w:cs="Times New Roman"/>
          <w:b/>
          <w:color w:val="auto"/>
          <w:sz w:val="32"/>
          <w:szCs w:val="32"/>
          <w:lang w:eastAsia="en-GB"/>
        </w:rPr>
        <w:lastRenderedPageBreak/>
        <w:t xml:space="preserve">F   </w:t>
      </w:r>
      <w:r w:rsidRPr="00BE3245">
        <w:rPr>
          <w:rFonts w:eastAsia="Times New Roman" w:cs="Times New Roman"/>
          <w:b/>
          <w:color w:val="auto"/>
          <w:sz w:val="32"/>
          <w:szCs w:val="32"/>
          <w:lang w:eastAsia="en-GB"/>
        </w:rPr>
        <w:t>Investment Policy and Performance</w:t>
      </w:r>
    </w:p>
    <w:p w:rsidR="00FF6F6A" w:rsidRPr="006B72A4" w:rsidRDefault="00FF6F6A" w:rsidP="00FF6F6A">
      <w:pPr>
        <w:autoSpaceDE/>
        <w:autoSpaceDN/>
        <w:adjustRightInd/>
        <w:spacing w:after="0"/>
        <w:jc w:val="left"/>
        <w:rPr>
          <w:rFonts w:ascii="ArialMT" w:eastAsia="Times New Roman" w:hAnsi="ArialMT" w:cs="ArialMT"/>
          <w:color w:val="auto"/>
          <w:highlight w:val="yellow"/>
          <w:lang w:eastAsia="en-GB"/>
        </w:rPr>
      </w:pPr>
    </w:p>
    <w:p w:rsidR="002D2C95" w:rsidRPr="002D2C95" w:rsidRDefault="002D2C95" w:rsidP="002D2C95">
      <w:pPr>
        <w:spacing w:line="276" w:lineRule="auto"/>
        <w:rPr>
          <w:rFonts w:eastAsia="Times New Roman" w:cs="Arial"/>
          <w:b/>
          <w:color w:val="auto"/>
          <w:lang w:eastAsia="en-GB"/>
        </w:rPr>
      </w:pPr>
      <w:r w:rsidRPr="002D2C95">
        <w:rPr>
          <w:rFonts w:eastAsia="Times New Roman" w:cs="Arial"/>
          <w:b/>
          <w:color w:val="auto"/>
          <w:lang w:eastAsia="en-GB"/>
        </w:rPr>
        <w:t>Macro outlook – the last 12 months</w:t>
      </w:r>
    </w:p>
    <w:p w:rsidR="002D2C95" w:rsidRPr="002D2C95" w:rsidRDefault="002D2C95" w:rsidP="002D2C95">
      <w:pPr>
        <w:spacing w:after="0" w:line="276" w:lineRule="auto"/>
        <w:rPr>
          <w:rFonts w:eastAsia="Times New Roman" w:cs="Arial"/>
          <w:color w:val="auto"/>
          <w:lang w:val="en-US" w:eastAsia="en-GB"/>
        </w:rPr>
      </w:pPr>
      <w:r w:rsidRPr="002D2C95">
        <w:rPr>
          <w:rFonts w:eastAsia="Times New Roman" w:cs="Arial"/>
          <w:color w:val="auto"/>
          <w:lang w:val="en-US" w:eastAsia="en-GB"/>
        </w:rPr>
        <w:t xml:space="preserve">2017 was a year of stronger, broad-based economic expansion, which saw world GDP increase at the fastest pace since 2011 and roughly 70% of global economies seeing stronger growth compared to 2016. Despite this “synchronised growth” the acceleration in world GDP stemmed predominantly from firmer growth in several developed economies. The cyclical improvements in Argentina, Brazil, Nigeria and the Russian Federation, as these economies emerged from recession, explains roughly a third of global economic growth between 2016 and 2017. </w:t>
      </w:r>
    </w:p>
    <w:p w:rsidR="002D2C95" w:rsidRPr="002D2C95" w:rsidRDefault="002D2C95" w:rsidP="002D2C95">
      <w:pPr>
        <w:spacing w:after="0" w:line="276" w:lineRule="auto"/>
        <w:rPr>
          <w:rFonts w:eastAsia="Times New Roman" w:cs="Arial"/>
          <w:color w:val="auto"/>
          <w:lang w:val="en-US" w:eastAsia="en-GB"/>
        </w:rPr>
      </w:pPr>
    </w:p>
    <w:p w:rsidR="002D2C95" w:rsidRPr="002D2C95" w:rsidRDefault="002D2C95" w:rsidP="002D2C95">
      <w:pPr>
        <w:spacing w:after="0" w:line="276" w:lineRule="auto"/>
        <w:rPr>
          <w:rFonts w:eastAsia="Times New Roman" w:cs="Arial"/>
          <w:color w:val="auto"/>
          <w:lang w:val="en-US" w:eastAsia="en-GB"/>
        </w:rPr>
      </w:pPr>
      <w:r w:rsidRPr="002D2C95">
        <w:rPr>
          <w:rFonts w:eastAsia="Times New Roman" w:cs="Arial"/>
          <w:color w:val="auto"/>
          <w:lang w:val="en-US" w:eastAsia="en-GB"/>
        </w:rPr>
        <w:t xml:space="preserve">After a couple of years of monetary policy divergence, with the Federal Reserve Bank (FED) continuing to tighten alongside advanced economies’ ongoing accommodative policies, the first steps towards convergence were taken as the Bank of England (BOE) increased interest rates for the first time in almost a decade and the European Central Bank (ECB) scaled back its asset purchase programme. </w:t>
      </w:r>
    </w:p>
    <w:p w:rsidR="002D2C95" w:rsidRPr="002D2C95" w:rsidRDefault="002D2C95" w:rsidP="002D2C95">
      <w:pPr>
        <w:spacing w:after="0" w:line="276" w:lineRule="auto"/>
        <w:rPr>
          <w:rFonts w:eastAsia="Times New Roman" w:cs="Arial"/>
          <w:color w:val="auto"/>
          <w:lang w:val="en-US" w:eastAsia="en-GB"/>
        </w:rPr>
      </w:pPr>
    </w:p>
    <w:p w:rsidR="002D2C95" w:rsidRPr="002D2C95" w:rsidRDefault="002D2C95" w:rsidP="002D2C95">
      <w:pPr>
        <w:spacing w:after="0" w:line="276" w:lineRule="auto"/>
        <w:rPr>
          <w:rFonts w:eastAsia="Times New Roman" w:cs="Arial"/>
          <w:color w:val="auto"/>
          <w:lang w:val="en-US" w:eastAsia="en-GB"/>
        </w:rPr>
      </w:pPr>
      <w:r w:rsidRPr="002D2C95">
        <w:rPr>
          <w:rFonts w:eastAsia="Times New Roman" w:cs="Arial"/>
          <w:color w:val="auto"/>
          <w:lang w:val="en-US" w:eastAsia="en-GB"/>
        </w:rPr>
        <w:t xml:space="preserve">This year saw a rise in geopolitical risks around the world, from continuing conflicts in Syria and Yemen to rising tensions between the United States (U.S.) and Iran, Russian sanctions, as well as North Korea (amid the latter’s nuclear development programme). Furthermore, an ongoing spat between Qatar and other regional countries including Saudi Arabia increased risks in the Middle East, while trade tensions between U.S. and China raised concerns over the possibility of reciprocal tariffs and other protectionist policies. Despite this backdrop, risk assets performed exceptionally well with global equity indices reaching new highs at the end of 2017. </w:t>
      </w:r>
    </w:p>
    <w:p w:rsidR="002D2C95" w:rsidRPr="002D2C95" w:rsidRDefault="002D2C95" w:rsidP="002D2C95">
      <w:pPr>
        <w:spacing w:after="0" w:line="276" w:lineRule="auto"/>
        <w:rPr>
          <w:rFonts w:eastAsia="Times New Roman" w:cs="Arial"/>
          <w:color w:val="auto"/>
          <w:lang w:val="en-US" w:eastAsia="en-GB"/>
        </w:rPr>
      </w:pPr>
    </w:p>
    <w:p w:rsidR="002D2C95" w:rsidRPr="002D2C95" w:rsidRDefault="002D2C95" w:rsidP="002D2C95">
      <w:pPr>
        <w:spacing w:after="0" w:line="276" w:lineRule="auto"/>
        <w:rPr>
          <w:rFonts w:eastAsia="Times New Roman" w:cs="Arial"/>
          <w:color w:val="auto"/>
          <w:lang w:val="en-US" w:eastAsia="en-GB"/>
        </w:rPr>
      </w:pPr>
      <w:r w:rsidRPr="002D2C95">
        <w:rPr>
          <w:rFonts w:eastAsia="Times New Roman" w:cs="Arial"/>
          <w:color w:val="auto"/>
          <w:lang w:val="en-US" w:eastAsia="en-GB"/>
        </w:rPr>
        <w:t xml:space="preserve">In the U.S., the economy also expanded at a faster pace in 2017 (full-year growth was at 2.3%), operating close to full employment. The labour market remained strong, with an average 180k new jobs a month, pushing the unemployment rate down to 4.1% from 4.7%. Despite the tightness in the labour market, wage growth only accelerated modestly which together with the FED’s gradual interest rate hikes kept inflation in check. The trade weighted dollar was approximately 6% weaker at the end of 2017 compared to 2016 but has since stabilised in the first quarter of 2018 supported by rising rates, stronger growth and an increased supply of government bonds. Additional fiscal spending and the recently enacted tax cuts should further support growth in 2018.   </w:t>
      </w:r>
    </w:p>
    <w:p w:rsidR="002D2C95" w:rsidRPr="002D2C95" w:rsidRDefault="002D2C95" w:rsidP="002D2C95">
      <w:pPr>
        <w:spacing w:after="0" w:line="276" w:lineRule="auto"/>
        <w:rPr>
          <w:rFonts w:eastAsia="Times New Roman" w:cs="Arial"/>
          <w:color w:val="auto"/>
          <w:lang w:val="en-US" w:eastAsia="en-GB"/>
        </w:rPr>
      </w:pPr>
    </w:p>
    <w:p w:rsidR="002D2C95" w:rsidRPr="002D2C95" w:rsidRDefault="002D2C95" w:rsidP="002D2C95">
      <w:pPr>
        <w:spacing w:after="0" w:line="276" w:lineRule="auto"/>
        <w:rPr>
          <w:rFonts w:eastAsia="Times New Roman" w:cs="Arial"/>
          <w:color w:val="auto"/>
          <w:lang w:val="en-US" w:eastAsia="en-GB"/>
        </w:rPr>
      </w:pPr>
      <w:r w:rsidRPr="002D2C95">
        <w:rPr>
          <w:rFonts w:eastAsia="Times New Roman" w:cs="Arial"/>
          <w:color w:val="auto"/>
          <w:lang w:val="en-US" w:eastAsia="en-GB"/>
        </w:rPr>
        <w:t xml:space="preserve">In the U.K., the economy continued to slow down (full-year growth was at 1.8%) amid lingering Brexit negotiations, which have weighed on investment and economic activities. Following the 2016 EU referendum, sterling depreciated sharply leading to inflationary pressures and decreased consumer spending. Consumption fared relatively well in the first half of 2017, buoyed by a further reduction in savings and an increase in short-term credit, but was markedly lower in the second half as inflation continued to exceed wage gains. The BOE raised interest rates by 25 basis points in November 2017 for the first time since July 2007, reiterating that only limited and gradual interest rate hikes will follow. Despite this move, monetary conditions have remained broadly accommodative, as the BOE continues with its Quantitative Easing programme and its proceeds reinvestment. Sterling rebounded slightly on a trade weighted basis throughout the year, reflecting gains mainly against </w:t>
      </w:r>
      <w:r w:rsidRPr="002D2C95">
        <w:rPr>
          <w:rFonts w:eastAsia="Times New Roman" w:cs="Arial"/>
          <w:color w:val="auto"/>
          <w:lang w:val="en-US" w:eastAsia="en-GB"/>
        </w:rPr>
        <w:lastRenderedPageBreak/>
        <w:t xml:space="preserve">the Dollar, Swiss Franc and Chinese Renminbi, while it was approximately 4% weaker against the Euro, its main trading partner.  </w:t>
      </w:r>
    </w:p>
    <w:p w:rsidR="002D2C95" w:rsidRPr="002D2C95" w:rsidRDefault="002D2C95" w:rsidP="002D2C95">
      <w:pPr>
        <w:spacing w:after="0" w:line="276" w:lineRule="auto"/>
        <w:rPr>
          <w:rFonts w:eastAsia="Times New Roman" w:cs="Arial"/>
          <w:color w:val="auto"/>
          <w:lang w:val="en-US" w:eastAsia="en-GB"/>
        </w:rPr>
      </w:pPr>
      <w:r w:rsidRPr="002D2C95">
        <w:rPr>
          <w:rFonts w:eastAsia="Times New Roman" w:cs="Arial"/>
          <w:color w:val="auto"/>
          <w:lang w:val="en-US" w:eastAsia="en-GB"/>
        </w:rPr>
        <w:t xml:space="preserve">     </w:t>
      </w:r>
    </w:p>
    <w:p w:rsidR="002D2C95" w:rsidRPr="002D2C95" w:rsidRDefault="002D2C95" w:rsidP="002D2C95">
      <w:pPr>
        <w:spacing w:after="0" w:line="276" w:lineRule="auto"/>
        <w:rPr>
          <w:rFonts w:eastAsia="Times New Roman" w:cs="Arial"/>
          <w:color w:val="auto"/>
          <w:lang w:val="en-US" w:eastAsia="en-GB"/>
        </w:rPr>
      </w:pPr>
      <w:r w:rsidRPr="002D2C95">
        <w:rPr>
          <w:rFonts w:eastAsia="Times New Roman" w:cs="Arial"/>
          <w:color w:val="auto"/>
          <w:lang w:val="en-US" w:eastAsia="en-GB"/>
        </w:rPr>
        <w:t>In the Eurozone, political risk receded in 2017, although key questions remain regarding the EU’s regulatory and fiscal convergence. Growth accelerated to 2.4% as economic indicators reached cyclical highs, investment rebounded, and consumption was solid. The labour markets continued to add new payrolls on a quarterly basis, dragging unemployment to the lowest level since 2008 (8.7%). Headline inflation increased as commodity prices rebounded globally, but core inflation remained subdued. The ECB’s asset purchase programme was scaled back to 30 billion Euros a month and announced September 2018 as a likely “soft” end date. Regardless of when it comes to an end, interest rates are expected to remain at near zero levels for an extended period, and the ECB is expected to continue reinvesting asset purchase proceeds in the medium term.</w:t>
      </w:r>
    </w:p>
    <w:p w:rsidR="002D2C95" w:rsidRPr="002D2C95" w:rsidRDefault="002D2C95" w:rsidP="002D2C95">
      <w:pPr>
        <w:spacing w:after="0" w:line="276" w:lineRule="auto"/>
        <w:rPr>
          <w:rFonts w:eastAsia="Times New Roman" w:cs="Arial"/>
          <w:color w:val="auto"/>
          <w:lang w:val="en-US" w:eastAsia="en-GB"/>
        </w:rPr>
      </w:pPr>
    </w:p>
    <w:p w:rsidR="002D2C95" w:rsidRPr="002D2C95" w:rsidRDefault="002D2C95" w:rsidP="002D2C95">
      <w:pPr>
        <w:spacing w:after="0" w:line="276" w:lineRule="auto"/>
        <w:rPr>
          <w:rFonts w:eastAsia="Times New Roman" w:cs="Arial"/>
          <w:color w:val="auto"/>
          <w:lang w:eastAsia="en-GB"/>
        </w:rPr>
      </w:pPr>
      <w:r w:rsidRPr="002D2C95">
        <w:rPr>
          <w:rFonts w:eastAsia="Times New Roman" w:cs="Arial"/>
          <w:color w:val="auto"/>
          <w:lang w:val="en-US" w:eastAsia="en-GB"/>
        </w:rPr>
        <w:t>Across emerging markets, China’s rising trade tensions with the U.S. have been under the spotlight. After consolidating his power, President Xi Jinping pledged a new era for the Chinese economy, focusing on rebalancing growth between consumption and investment, further opening the economy and improve the increasing levels of corporate debt. Growth accelerated slightly on a full year basis (6.9%) although it appeared to lose some momentum at the end of the year. Commodity producers such as Brazil, South Africa and Russia emerged from recessions, amid higher commodity prices, which boosted their balance sheets.</w:t>
      </w:r>
    </w:p>
    <w:p w:rsidR="002D2C95" w:rsidRPr="002D2C95" w:rsidRDefault="002D2C95" w:rsidP="002D2C95">
      <w:pPr>
        <w:spacing w:after="0" w:line="276" w:lineRule="auto"/>
        <w:rPr>
          <w:rFonts w:eastAsia="Times New Roman" w:cs="Arial"/>
          <w:b/>
          <w:color w:val="auto"/>
          <w:lang w:eastAsia="en-GB"/>
        </w:rPr>
      </w:pPr>
      <w:r w:rsidRPr="002D2C95">
        <w:rPr>
          <w:rFonts w:eastAsia="Times New Roman" w:cs="Arial"/>
          <w:b/>
          <w:color w:val="auto"/>
          <w:lang w:eastAsia="en-GB"/>
        </w:rPr>
        <w:t xml:space="preserve"> </w:t>
      </w:r>
    </w:p>
    <w:p w:rsidR="002D2C95" w:rsidRPr="002D2C95" w:rsidRDefault="002D2C95" w:rsidP="002D2C95">
      <w:pPr>
        <w:spacing w:line="276" w:lineRule="auto"/>
        <w:rPr>
          <w:rFonts w:eastAsia="Times New Roman" w:cs="Arial"/>
          <w:color w:val="auto"/>
          <w:lang w:eastAsia="en-GB"/>
        </w:rPr>
      </w:pPr>
      <w:r w:rsidRPr="002D2C95">
        <w:rPr>
          <w:rFonts w:eastAsia="Times New Roman" w:cs="Arial"/>
          <w:b/>
          <w:color w:val="auto"/>
          <w:lang w:eastAsia="en-GB"/>
        </w:rPr>
        <w:t>Performance</w:t>
      </w: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US" w:eastAsia="en-GB"/>
        </w:rPr>
        <w:t>As a pension fund our investment horizon is long term. Our investment strategy is based on the Fund’s objectives of balancing capital growth with capital preservation and adequate cash flows to cover all liabilities as they fall due.</w:t>
      </w:r>
      <w:r w:rsidRPr="002D2C95">
        <w:rPr>
          <w:rFonts w:eastAsia="Times New Roman" w:cs="Arial"/>
          <w:color w:val="auto"/>
          <w:lang w:val="en" w:eastAsia="en-GB"/>
        </w:rPr>
        <w:t xml:space="preserve"> The Fund invests its assets to meet its liabilities over the long-term, and therefore performance should be better judged against those objectives and over a corresponding period.  </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 w:eastAsia="en-GB"/>
        </w:rPr>
        <w:t>In the year to 31 March 2018, the Fund delivered 4.0% return on assets, slightly trailing the Lancashire Plan Benchmark by 0.4%, but outperformed its Policy Portfolio by 0.2%. The value of the Fund's investment assets at 31 March 2018 was £7,610.2m, up from £7,191.4m at 31 March 2017.</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eastAsia="en-GB"/>
        </w:rPr>
      </w:pPr>
      <w:r w:rsidRPr="002D2C95">
        <w:rPr>
          <w:rFonts w:eastAsia="Times New Roman" w:cs="Arial"/>
          <w:color w:val="auto"/>
          <w:lang w:val="en-US" w:eastAsia="en-GB"/>
        </w:rPr>
        <w:t xml:space="preserve">Over the year, the Fund’s performance was mainly driven by the private equity and real estate assets classes, which strongly outperformed their respective benchmarks. Longer-term (over a 3-year or 5-year horizon) the Fund returns had been strong, comfortably outperforming both its actuarial benchmark and its policy portfolio. </w:t>
      </w:r>
      <w:r w:rsidRPr="002D2C95">
        <w:rPr>
          <w:rFonts w:eastAsia="Times New Roman" w:cs="Arial"/>
          <w:color w:val="auto"/>
          <w:lang w:eastAsia="en-GB"/>
        </w:rPr>
        <w:t xml:space="preserve">The triennial discount rate assumption (the actuarial benchmark) used until 31 March 2016 was based on UK gilts+1.6% p.a. - this was changed with effect from the 2016 actuarial valuation and is now an inflation-linked measure, CPI + 2.2% p.a. At the 31 March 2016 valuation this discount rate was 4.4% p.a. and this is reflected as a fixed actuarial benchmark from that date in the table below. Policy portfolio returns reflect the Fund’s long-term strategic asset allocation returns (strategic weights multiplied by a benchmark asset class index). </w:t>
      </w:r>
    </w:p>
    <w:p w:rsidR="002D2C95" w:rsidRDefault="002D2C95" w:rsidP="002D2C95">
      <w:pPr>
        <w:widowControl w:val="0"/>
        <w:spacing w:after="0" w:line="276" w:lineRule="auto"/>
        <w:rPr>
          <w:rFonts w:ascii="Verdana" w:eastAsia="Times New Roman" w:hAnsi="Verdana" w:cs="Arial"/>
          <w:color w:val="auto"/>
          <w:sz w:val="20"/>
          <w:szCs w:val="20"/>
          <w:lang w:eastAsia="en-GB"/>
        </w:rPr>
      </w:pPr>
    </w:p>
    <w:p w:rsidR="002D2C95" w:rsidRDefault="002D2C95" w:rsidP="002D2C95">
      <w:pPr>
        <w:widowControl w:val="0"/>
        <w:spacing w:after="0" w:line="276" w:lineRule="auto"/>
        <w:rPr>
          <w:rFonts w:ascii="Verdana" w:eastAsia="Times New Roman" w:hAnsi="Verdana" w:cs="Arial"/>
          <w:color w:val="auto"/>
          <w:sz w:val="20"/>
          <w:szCs w:val="20"/>
          <w:lang w:eastAsia="en-GB"/>
        </w:rPr>
      </w:pPr>
    </w:p>
    <w:p w:rsidR="002D2C95" w:rsidRPr="00671B83" w:rsidRDefault="002D2C95" w:rsidP="002D2C95">
      <w:pPr>
        <w:widowControl w:val="0"/>
        <w:spacing w:after="0" w:line="276" w:lineRule="auto"/>
        <w:rPr>
          <w:rFonts w:ascii="Verdana" w:eastAsia="Times New Roman" w:hAnsi="Verdana" w:cs="Arial"/>
          <w:color w:val="auto"/>
          <w:sz w:val="20"/>
          <w:szCs w:val="20"/>
          <w:lang w:val="en" w:eastAsia="en-GB"/>
        </w:rPr>
      </w:pPr>
    </w:p>
    <w:p w:rsidR="002D2C95" w:rsidRDefault="002D2C95" w:rsidP="002D2C95">
      <w:pPr>
        <w:spacing w:after="0" w:line="276" w:lineRule="auto"/>
        <w:rPr>
          <w:rFonts w:ascii="Verdana" w:eastAsia="Times New Roman" w:hAnsi="Verdana" w:cs="Arial"/>
          <w:color w:val="auto"/>
          <w:sz w:val="20"/>
          <w:szCs w:val="20"/>
          <w:lang w:eastAsia="en-GB"/>
        </w:rPr>
      </w:pPr>
    </w:p>
    <w:p w:rsidR="002D2C95" w:rsidRDefault="002D2C95" w:rsidP="002D2C95">
      <w:pPr>
        <w:spacing w:after="0" w:line="276" w:lineRule="auto"/>
        <w:rPr>
          <w:rFonts w:ascii="Verdana" w:eastAsia="Times New Roman" w:hAnsi="Verdana" w:cs="Arial"/>
          <w:color w:val="auto"/>
          <w:sz w:val="20"/>
          <w:szCs w:val="20"/>
          <w:lang w:eastAsia="en-GB"/>
        </w:rPr>
      </w:pPr>
    </w:p>
    <w:p w:rsidR="002D2C95" w:rsidRPr="00671B83" w:rsidRDefault="002D2C95" w:rsidP="002D2C95">
      <w:pPr>
        <w:spacing w:after="0" w:line="276" w:lineRule="auto"/>
        <w:rPr>
          <w:rFonts w:ascii="Verdana" w:eastAsia="Times New Roman" w:hAnsi="Verdana" w:cs="Arial"/>
          <w:color w:val="auto"/>
          <w:sz w:val="20"/>
          <w:szCs w:val="20"/>
          <w:lang w:eastAsia="en-GB"/>
        </w:rPr>
      </w:pPr>
    </w:p>
    <w:tbl>
      <w:tblPr>
        <w:tblW w:w="6800" w:type="dxa"/>
        <w:tblCellMar>
          <w:left w:w="0" w:type="dxa"/>
          <w:right w:w="0" w:type="dxa"/>
        </w:tblCellMar>
        <w:tblLook w:val="04A0" w:firstRow="1" w:lastRow="0" w:firstColumn="1" w:lastColumn="0" w:noHBand="0" w:noVBand="1"/>
      </w:tblPr>
      <w:tblGrid>
        <w:gridCol w:w="3397"/>
        <w:gridCol w:w="1183"/>
        <w:gridCol w:w="1080"/>
        <w:gridCol w:w="1140"/>
      </w:tblGrid>
      <w:tr w:rsidR="002D2C95" w:rsidTr="002D2C95">
        <w:trPr>
          <w:trHeight w:val="285"/>
        </w:trPr>
        <w:tc>
          <w:tcPr>
            <w:tcW w:w="3397" w:type="dxa"/>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Default="002D2C95" w:rsidP="002D2C95">
            <w:pPr>
              <w:spacing w:after="0"/>
              <w:jc w:val="center"/>
              <w:rPr>
                <w:rFonts w:ascii="Verdana" w:hAnsi="Verdana"/>
                <w:b/>
                <w:bCs/>
                <w:color w:val="FFFFFF"/>
                <w:sz w:val="18"/>
                <w:szCs w:val="18"/>
              </w:rPr>
            </w:pPr>
            <w:r>
              <w:rPr>
                <w:rFonts w:ascii="Verdana" w:hAnsi="Verdana"/>
                <w:b/>
                <w:bCs/>
                <w:color w:val="FFFFFF"/>
                <w:sz w:val="18"/>
                <w:szCs w:val="18"/>
              </w:rPr>
              <w:t>Period Return</w:t>
            </w:r>
          </w:p>
        </w:tc>
        <w:tc>
          <w:tcPr>
            <w:tcW w:w="1183"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Default="002D2C95" w:rsidP="002D2C95">
            <w:pPr>
              <w:spacing w:after="0"/>
              <w:jc w:val="center"/>
              <w:rPr>
                <w:rFonts w:ascii="Verdana" w:hAnsi="Verdana"/>
                <w:b/>
                <w:bCs/>
                <w:color w:val="FFFFFF"/>
                <w:sz w:val="18"/>
                <w:szCs w:val="18"/>
              </w:rPr>
            </w:pPr>
            <w:r>
              <w:rPr>
                <w:rFonts w:ascii="Verdana" w:hAnsi="Verdana"/>
                <w:b/>
                <w:bCs/>
                <w:color w:val="FFFFFF"/>
                <w:sz w:val="18"/>
                <w:szCs w:val="18"/>
              </w:rPr>
              <w:t>1 Year</w:t>
            </w:r>
          </w:p>
        </w:tc>
        <w:tc>
          <w:tcPr>
            <w:tcW w:w="1080"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Default="002D2C95" w:rsidP="002D2C95">
            <w:pPr>
              <w:spacing w:after="0"/>
              <w:jc w:val="center"/>
              <w:rPr>
                <w:rFonts w:ascii="Verdana" w:hAnsi="Verdana"/>
                <w:b/>
                <w:bCs/>
                <w:color w:val="FFFFFF"/>
                <w:sz w:val="18"/>
                <w:szCs w:val="18"/>
              </w:rPr>
            </w:pPr>
            <w:r>
              <w:rPr>
                <w:rFonts w:ascii="Verdana" w:hAnsi="Verdana"/>
                <w:b/>
                <w:bCs/>
                <w:color w:val="FFFFFF"/>
                <w:sz w:val="18"/>
                <w:szCs w:val="18"/>
              </w:rPr>
              <w:t>3 Year</w:t>
            </w:r>
          </w:p>
        </w:tc>
        <w:tc>
          <w:tcPr>
            <w:tcW w:w="1140"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Default="002D2C95" w:rsidP="002D2C95">
            <w:pPr>
              <w:spacing w:after="0"/>
              <w:jc w:val="center"/>
              <w:rPr>
                <w:rFonts w:ascii="Verdana" w:hAnsi="Verdana"/>
                <w:b/>
                <w:bCs/>
                <w:color w:val="FFFFFF"/>
                <w:sz w:val="18"/>
                <w:szCs w:val="18"/>
              </w:rPr>
            </w:pPr>
            <w:r>
              <w:rPr>
                <w:rFonts w:ascii="Verdana" w:hAnsi="Verdana"/>
                <w:b/>
                <w:bCs/>
                <w:color w:val="FFFFFF"/>
                <w:sz w:val="18"/>
                <w:szCs w:val="18"/>
              </w:rPr>
              <w:t>5 Year</w:t>
            </w:r>
          </w:p>
        </w:tc>
      </w:tr>
      <w:tr w:rsidR="002D2C95" w:rsidTr="002D2C95">
        <w:trPr>
          <w:trHeight w:val="450"/>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D2C95" w:rsidRDefault="002D2C95" w:rsidP="002D2C95">
            <w:pPr>
              <w:spacing w:after="0"/>
              <w:jc w:val="center"/>
              <w:rPr>
                <w:rFonts w:ascii="Verdana" w:hAnsi="Verdana"/>
                <w:b/>
                <w:bCs/>
                <w:sz w:val="16"/>
                <w:szCs w:val="16"/>
              </w:rPr>
            </w:pPr>
            <w:r>
              <w:rPr>
                <w:rFonts w:ascii="Verdana" w:hAnsi="Verdana"/>
                <w:b/>
                <w:bCs/>
                <w:sz w:val="16"/>
                <w:szCs w:val="16"/>
              </w:rPr>
              <w:t>Investment return</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9.1%</w:t>
            </w:r>
          </w:p>
        </w:tc>
      </w:tr>
      <w:tr w:rsidR="002D2C95" w:rsidTr="002D2C95">
        <w:trPr>
          <w:trHeight w:val="450"/>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D2C95" w:rsidRDefault="002D2C95" w:rsidP="002D2C95">
            <w:pPr>
              <w:spacing w:after="0"/>
              <w:jc w:val="center"/>
              <w:rPr>
                <w:rFonts w:ascii="Verdana" w:hAnsi="Verdana"/>
                <w:b/>
                <w:bCs/>
                <w:sz w:val="16"/>
                <w:szCs w:val="16"/>
              </w:rPr>
            </w:pPr>
            <w:r>
              <w:rPr>
                <w:rFonts w:ascii="Verdana" w:hAnsi="Verdana"/>
                <w:b/>
                <w:bCs/>
                <w:sz w:val="16"/>
                <w:szCs w:val="16"/>
              </w:rPr>
              <w:t>Actuarial benchmark</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5.7%</w:t>
            </w:r>
          </w:p>
        </w:tc>
      </w:tr>
      <w:tr w:rsidR="002D2C95" w:rsidTr="002D2C95">
        <w:trPr>
          <w:trHeight w:val="450"/>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D2C95" w:rsidRDefault="002D2C95" w:rsidP="002D2C95">
            <w:pPr>
              <w:spacing w:after="0"/>
              <w:jc w:val="center"/>
              <w:rPr>
                <w:rFonts w:ascii="Verdana" w:hAnsi="Verdana"/>
                <w:b/>
                <w:bCs/>
                <w:sz w:val="16"/>
                <w:szCs w:val="16"/>
              </w:rPr>
            </w:pPr>
            <w:r>
              <w:rPr>
                <w:rFonts w:ascii="Verdana" w:hAnsi="Verdana"/>
                <w:b/>
                <w:bCs/>
                <w:sz w:val="16"/>
                <w:szCs w:val="16"/>
              </w:rPr>
              <w:t>Policy portfolio</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Default="002D2C95" w:rsidP="002D2C95">
            <w:pPr>
              <w:spacing w:after="0"/>
              <w:jc w:val="center"/>
              <w:rPr>
                <w:rFonts w:ascii="Verdana" w:hAnsi="Verdana"/>
                <w:sz w:val="16"/>
                <w:szCs w:val="16"/>
              </w:rPr>
            </w:pPr>
            <w:r>
              <w:rPr>
                <w:rFonts w:ascii="Verdana" w:hAnsi="Verdana"/>
                <w:sz w:val="16"/>
                <w:szCs w:val="16"/>
              </w:rPr>
              <w:t>8.2%</w:t>
            </w:r>
          </w:p>
        </w:tc>
      </w:tr>
    </w:tbl>
    <w:p w:rsidR="002D2C95" w:rsidRDefault="002D2C95" w:rsidP="002D2C95">
      <w:pPr>
        <w:spacing w:line="276" w:lineRule="auto"/>
        <w:rPr>
          <w:rFonts w:ascii="Verdana" w:eastAsia="Times New Roman" w:hAnsi="Verdana" w:cs="Arial"/>
          <w:b/>
          <w:color w:val="auto"/>
          <w:sz w:val="20"/>
          <w:szCs w:val="20"/>
          <w:lang w:eastAsia="en-GB"/>
        </w:rPr>
      </w:pPr>
    </w:p>
    <w:p w:rsidR="002D2C95" w:rsidRDefault="002D2C95" w:rsidP="002D2C95">
      <w:pPr>
        <w:spacing w:line="276" w:lineRule="auto"/>
        <w:rPr>
          <w:rFonts w:ascii="Verdana" w:eastAsia="Times New Roman" w:hAnsi="Verdana" w:cs="Arial"/>
          <w:b/>
          <w:color w:val="auto"/>
          <w:sz w:val="20"/>
          <w:szCs w:val="20"/>
          <w:lang w:eastAsia="en-GB"/>
        </w:rPr>
      </w:pPr>
      <w:r>
        <w:rPr>
          <w:rFonts w:ascii="Verdana" w:eastAsia="Times New Roman" w:hAnsi="Verdana" w:cs="Arial"/>
          <w:b/>
          <w:noProof/>
          <w:color w:val="auto"/>
          <w:sz w:val="20"/>
          <w:szCs w:val="20"/>
          <w:lang w:eastAsia="en-GB"/>
        </w:rPr>
        <w:drawing>
          <wp:anchor distT="0" distB="0" distL="114300" distR="114300" simplePos="0" relativeHeight="251676672" behindDoc="1" locked="0" layoutInCell="1" allowOverlap="1" wp14:anchorId="37E20E1D" wp14:editId="764446CC">
            <wp:simplePos x="0" y="0"/>
            <wp:positionH relativeFrom="margin">
              <wp:align>left</wp:align>
            </wp:positionH>
            <wp:positionV relativeFrom="margin">
              <wp:posOffset>1371600</wp:posOffset>
            </wp:positionV>
            <wp:extent cx="3600450" cy="2371725"/>
            <wp:effectExtent l="19050" t="19050" r="19050" b="28575"/>
            <wp:wrapTight wrapText="bothSides">
              <wp:wrapPolygon edited="0">
                <wp:start x="-114" y="-173"/>
                <wp:lineTo x="-114" y="21687"/>
                <wp:lineTo x="21600" y="21687"/>
                <wp:lineTo x="21600" y="-173"/>
                <wp:lineTo x="-114" y="-17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2371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D2C95" w:rsidRDefault="002D2C95" w:rsidP="002D2C95">
      <w:pPr>
        <w:spacing w:line="276" w:lineRule="auto"/>
        <w:rPr>
          <w:rFonts w:ascii="Verdana" w:eastAsia="Times New Roman" w:hAnsi="Verdana" w:cs="Arial"/>
          <w:b/>
          <w:color w:val="auto"/>
          <w:sz w:val="20"/>
          <w:szCs w:val="20"/>
          <w:lang w:eastAsia="en-GB"/>
        </w:rPr>
      </w:pPr>
    </w:p>
    <w:p w:rsidR="002D2C95" w:rsidRDefault="002D2C95" w:rsidP="002D2C95">
      <w:pPr>
        <w:spacing w:line="276" w:lineRule="auto"/>
        <w:rPr>
          <w:rFonts w:ascii="Verdana" w:eastAsia="Times New Roman" w:hAnsi="Verdana" w:cs="Arial"/>
          <w:b/>
          <w:color w:val="auto"/>
          <w:sz w:val="20"/>
          <w:szCs w:val="20"/>
          <w:lang w:eastAsia="en-GB"/>
        </w:rPr>
      </w:pPr>
    </w:p>
    <w:p w:rsidR="002D2C95" w:rsidRDefault="002D2C95" w:rsidP="002D2C95">
      <w:pPr>
        <w:spacing w:line="276" w:lineRule="auto"/>
        <w:rPr>
          <w:rFonts w:ascii="Verdana" w:eastAsia="Times New Roman" w:hAnsi="Verdana" w:cs="Arial"/>
          <w:b/>
          <w:color w:val="auto"/>
          <w:sz w:val="20"/>
          <w:szCs w:val="20"/>
          <w:lang w:eastAsia="en-GB"/>
        </w:rPr>
      </w:pPr>
    </w:p>
    <w:p w:rsidR="002D2C95" w:rsidRDefault="002D2C95" w:rsidP="002D2C95">
      <w:pPr>
        <w:spacing w:line="276" w:lineRule="auto"/>
        <w:rPr>
          <w:rFonts w:ascii="Verdana" w:eastAsia="Times New Roman" w:hAnsi="Verdana" w:cs="Arial"/>
          <w:b/>
          <w:color w:val="auto"/>
          <w:sz w:val="20"/>
          <w:szCs w:val="20"/>
          <w:lang w:eastAsia="en-GB"/>
        </w:rPr>
      </w:pPr>
    </w:p>
    <w:p w:rsidR="002D2C95" w:rsidRDefault="002D2C95" w:rsidP="002D2C95">
      <w:pPr>
        <w:spacing w:line="276" w:lineRule="auto"/>
        <w:rPr>
          <w:rFonts w:ascii="Verdana" w:eastAsia="Times New Roman" w:hAnsi="Verdana" w:cs="Arial"/>
          <w:b/>
          <w:color w:val="auto"/>
          <w:sz w:val="20"/>
          <w:szCs w:val="20"/>
          <w:lang w:eastAsia="en-GB"/>
        </w:rPr>
      </w:pPr>
    </w:p>
    <w:p w:rsidR="002D2C95" w:rsidRDefault="002D2C95" w:rsidP="002D2C95">
      <w:pPr>
        <w:spacing w:line="276" w:lineRule="auto"/>
        <w:rPr>
          <w:rFonts w:ascii="Verdana" w:eastAsia="Times New Roman" w:hAnsi="Verdana" w:cs="Arial"/>
          <w:b/>
          <w:color w:val="auto"/>
          <w:sz w:val="20"/>
          <w:szCs w:val="20"/>
          <w:lang w:eastAsia="en-GB"/>
        </w:rPr>
      </w:pPr>
    </w:p>
    <w:p w:rsidR="002D2C95" w:rsidRDefault="002D2C95" w:rsidP="002D2C95">
      <w:pPr>
        <w:spacing w:line="276" w:lineRule="auto"/>
        <w:rPr>
          <w:rFonts w:ascii="Verdana" w:eastAsia="Times New Roman" w:hAnsi="Verdana" w:cs="Arial"/>
          <w:b/>
          <w:color w:val="auto"/>
          <w:sz w:val="20"/>
          <w:szCs w:val="20"/>
          <w:lang w:eastAsia="en-GB"/>
        </w:rPr>
      </w:pPr>
    </w:p>
    <w:p w:rsidR="002D2C95" w:rsidRDefault="002D2C95" w:rsidP="002D2C95">
      <w:pPr>
        <w:spacing w:after="0" w:line="276" w:lineRule="auto"/>
        <w:rPr>
          <w:rFonts w:ascii="Verdana" w:eastAsia="Times New Roman" w:hAnsi="Verdana" w:cs="Arial"/>
          <w:b/>
          <w:color w:val="auto"/>
          <w:sz w:val="20"/>
          <w:szCs w:val="20"/>
          <w:lang w:eastAsia="en-GB"/>
        </w:rPr>
      </w:pPr>
    </w:p>
    <w:p w:rsidR="002D2C95" w:rsidRDefault="002D2C95" w:rsidP="002D2C95">
      <w:pPr>
        <w:spacing w:before="240" w:line="276" w:lineRule="auto"/>
        <w:jc w:val="left"/>
        <w:rPr>
          <w:rFonts w:ascii="Verdana" w:eastAsia="Times New Roman" w:hAnsi="Verdana" w:cs="Arial"/>
          <w:b/>
          <w:color w:val="auto"/>
          <w:sz w:val="20"/>
          <w:szCs w:val="20"/>
          <w:lang w:eastAsia="en-GB"/>
        </w:rPr>
      </w:pPr>
      <w:r w:rsidRPr="002A31F3">
        <w:rPr>
          <w:rFonts w:eastAsia="Times New Roman" w:cs="Arial"/>
          <w:b/>
          <w:noProof/>
          <w:color w:val="auto"/>
          <w:lang w:eastAsia="en-GB"/>
        </w:rPr>
        <w:lastRenderedPageBreak/>
        <w:drawing>
          <wp:inline distT="0" distB="0" distL="0" distR="0" wp14:anchorId="345CFF44" wp14:editId="6EB9909E">
            <wp:extent cx="5731510" cy="2127672"/>
            <wp:effectExtent l="0" t="0" r="2540" b="6350"/>
            <wp:docPr id="13" name="Chart 13">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D10397BE-DC6A-4777-99B8-E6A063E7EE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2C95" w:rsidRPr="002D2C95" w:rsidRDefault="002D2C95" w:rsidP="002D2C95">
      <w:pPr>
        <w:spacing w:before="240" w:line="276" w:lineRule="auto"/>
        <w:rPr>
          <w:rFonts w:eastAsia="Times New Roman" w:cs="Arial"/>
          <w:b/>
          <w:color w:val="auto"/>
          <w:lang w:eastAsia="en-GB"/>
        </w:rPr>
      </w:pPr>
      <w:r w:rsidRPr="002D2C95">
        <w:rPr>
          <w:rFonts w:eastAsia="Times New Roman" w:cs="Arial"/>
          <w:b/>
          <w:color w:val="auto"/>
          <w:lang w:eastAsia="en-GB"/>
        </w:rPr>
        <w:t xml:space="preserve">Investment pooling </w:t>
      </w: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 w:eastAsia="en-GB"/>
        </w:rPr>
        <w:t xml:space="preserve">In 2016, LCPF appointed Local Pensions Partnership Investments Limited (LPP I) to manage its assets.  LPP I is a FCA regulated investment company which is wholly owned by Local Pensions Partnership Limited, a 50:50 joint venture between Lancashire County Council and London Pensions Fund Authority (LPFA). LPFA has also appointed LPP I to manage its assets, creating a larger pool (£13.1 billion as at 31 March 2018) which will be jointly invested. As well as combining the assets of both parties to create a larger investment pool, the investment teams of LCPF and LPFA have also been merged, leading to a more diversified pool of resources. As at the end of March 2018, LPP I had created 5 asset “pools” (vehicles) across public equities, private equity, infrastructure, credit and fixed income to manage clients’ assets. </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line="276" w:lineRule="auto"/>
        <w:rPr>
          <w:rFonts w:eastAsia="Times New Roman" w:cs="Arial"/>
          <w:color w:val="auto"/>
          <w:lang w:val="en" w:eastAsia="en-GB"/>
        </w:rPr>
      </w:pPr>
      <w:r w:rsidRPr="002D2C95">
        <w:rPr>
          <w:rFonts w:eastAsia="Times New Roman" w:cs="Arial"/>
          <w:b/>
          <w:color w:val="auto"/>
          <w:lang w:eastAsia="en-GB"/>
        </w:rPr>
        <w:t>Asset allocation</w:t>
      </w:r>
    </w:p>
    <w:p w:rsidR="002D2C95" w:rsidRPr="002D2C95" w:rsidRDefault="002D2C95" w:rsidP="002D2C95">
      <w:pPr>
        <w:spacing w:after="0" w:line="276" w:lineRule="auto"/>
        <w:rPr>
          <w:rFonts w:eastAsia="Times New Roman" w:cs="Arial"/>
          <w:color w:val="auto"/>
          <w:lang w:eastAsia="en-GB"/>
        </w:rPr>
      </w:pPr>
      <w:r w:rsidRPr="002D2C95">
        <w:rPr>
          <w:rFonts w:eastAsia="Times New Roman" w:cs="Arial"/>
          <w:color w:val="auto"/>
          <w:lang w:eastAsia="en-GB"/>
        </w:rPr>
        <w:t xml:space="preserve">In recent years the Fund has focused on </w:t>
      </w:r>
      <w:r w:rsidRPr="002D2C95">
        <w:rPr>
          <w:rFonts w:eastAsia="Times New Roman" w:cs="Arial"/>
          <w:color w:val="auto"/>
          <w:lang w:val="en" w:eastAsia="en-GB"/>
        </w:rPr>
        <w:t>reducing its reliance on listed equities, increasing allocations to other asset classes such as infrastructure, real estate and credit with the intention to better diversify its exposure and increase income yielding assets. Ultimately, the aim is to improve risk-adjusted returns over the long term.</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 w:eastAsia="en-GB"/>
        </w:rPr>
        <w:t xml:space="preserve">The following tables present LCPF’s current asset allocation versus its strategic target (policy portfolio) at the end of this and the previous financial year. In the first quarter of 2018, LCPF decreased its strategic asset allocation (SAA) to private equity and credit by 2.5% and 1.0% respectively, whilst it increased its allocation to infrastructure and cash by 2.5% and 1.0% respectively. In its advice to LCPF, LPP I discussed issues surrounding the scheme’s liquidity, income generation and equity exposure. Although the changes to the scheme’s SAA were incremental, implying limited impact on the long-term investment performance, they were intended to reduce risks around an income shortfall in a stress case scenario, and provide a “glidepath” for incremental rather than dramatic SAA changes, as the funding and liability dynamics of the scheme evolve over time.   </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 w:eastAsia="en-GB"/>
        </w:rPr>
        <w:t xml:space="preserve">The 2.5% reduction of private equity weight was intended to reduce equity risk and improve liquidity, although given the dynamics of this asset class it is likely that the actual portfolio will remain overweight to the new level for a considerable amount of time. The addition of 1.0% in cash was intended to improve liquidity and reflect the fact that the scheme will always need to have a certain </w:t>
      </w:r>
      <w:r w:rsidRPr="002D2C95">
        <w:rPr>
          <w:rFonts w:eastAsia="Times New Roman" w:cs="Arial"/>
          <w:color w:val="auto"/>
          <w:lang w:val="en" w:eastAsia="en-GB"/>
        </w:rPr>
        <w:lastRenderedPageBreak/>
        <w:t xml:space="preserve">minimum amount of cash available to pay pensions and manage capital drawdowns. The 2.5% addition to infrastructure aimed to increase income yielding assets as the maturing nature of the scheme will likely require an increase in regular cash inflows. Finally, the 1.0% reduction in credit was intended to reduce indirect exposure to general corporate, and therefore equity related, risk. </w:t>
      </w:r>
    </w:p>
    <w:p w:rsidR="002D2C95" w:rsidRDefault="002D2C95" w:rsidP="002D2C95">
      <w:pPr>
        <w:widowControl w:val="0"/>
        <w:spacing w:after="0" w:line="276" w:lineRule="auto"/>
        <w:rPr>
          <w:rFonts w:ascii="Verdana" w:eastAsia="Times New Roman" w:hAnsi="Verdana" w:cs="Arial"/>
          <w:color w:val="auto"/>
          <w:sz w:val="20"/>
          <w:szCs w:val="20"/>
          <w:lang w:val="en" w:eastAsia="en-GB"/>
        </w:rPr>
      </w:pPr>
    </w:p>
    <w:p w:rsidR="002D2C95" w:rsidRDefault="002D2C95" w:rsidP="002D2C95">
      <w:pPr>
        <w:widowControl w:val="0"/>
        <w:spacing w:line="276" w:lineRule="auto"/>
        <w:rPr>
          <w:rFonts w:ascii="Verdana" w:eastAsia="Times New Roman" w:hAnsi="Verdana" w:cs="Arial"/>
          <w:color w:val="auto"/>
          <w:sz w:val="20"/>
          <w:szCs w:val="20"/>
          <w:lang w:val="en" w:eastAsia="en-GB"/>
        </w:rPr>
      </w:pPr>
      <w:r w:rsidRPr="00671B83">
        <w:rPr>
          <w:rFonts w:ascii="Verdana" w:eastAsia="Times New Roman" w:hAnsi="Verdana" w:cs="Arial"/>
          <w:b/>
          <w:color w:val="auto"/>
          <w:sz w:val="20"/>
          <w:szCs w:val="20"/>
          <w:lang w:eastAsia="en-GB"/>
        </w:rPr>
        <w:t xml:space="preserve">Asset </w:t>
      </w:r>
      <w:r>
        <w:rPr>
          <w:rFonts w:ascii="Verdana" w:eastAsia="Times New Roman" w:hAnsi="Verdana" w:cs="Arial"/>
          <w:b/>
          <w:color w:val="auto"/>
          <w:sz w:val="20"/>
          <w:szCs w:val="20"/>
          <w:lang w:eastAsia="en-GB"/>
        </w:rPr>
        <w:t>a</w:t>
      </w:r>
      <w:r w:rsidRPr="00671B83">
        <w:rPr>
          <w:rFonts w:ascii="Verdana" w:eastAsia="Times New Roman" w:hAnsi="Verdana" w:cs="Arial"/>
          <w:b/>
          <w:color w:val="auto"/>
          <w:sz w:val="20"/>
          <w:szCs w:val="20"/>
          <w:lang w:eastAsia="en-GB"/>
        </w:rPr>
        <w:t>llocation</w:t>
      </w:r>
      <w:r>
        <w:rPr>
          <w:rFonts w:ascii="Verdana" w:eastAsia="Times New Roman" w:hAnsi="Verdana" w:cs="Arial"/>
          <w:b/>
          <w:color w:val="auto"/>
          <w:sz w:val="20"/>
          <w:szCs w:val="20"/>
          <w:lang w:eastAsia="en-GB"/>
        </w:rPr>
        <w:t xml:space="preserve"> – March 2018</w:t>
      </w:r>
    </w:p>
    <w:p w:rsidR="002D2C95" w:rsidRDefault="002D2C95" w:rsidP="002D2C95">
      <w:pPr>
        <w:widowControl w:val="0"/>
        <w:spacing w:after="0" w:line="276" w:lineRule="auto"/>
        <w:rPr>
          <w:rFonts w:ascii="Verdana" w:eastAsia="Times New Roman" w:hAnsi="Verdana" w:cs="Arial"/>
          <w:color w:val="auto"/>
          <w:sz w:val="20"/>
          <w:szCs w:val="20"/>
          <w:lang w:val="en" w:eastAsia="en-GB"/>
        </w:rPr>
      </w:pPr>
    </w:p>
    <w:tbl>
      <w:tblPr>
        <w:tblW w:w="5000" w:type="pct"/>
        <w:tblCellMar>
          <w:left w:w="0" w:type="dxa"/>
          <w:right w:w="0" w:type="dxa"/>
        </w:tblCellMar>
        <w:tblLook w:val="04A0" w:firstRow="1" w:lastRow="0" w:firstColumn="1" w:lastColumn="0" w:noHBand="0" w:noVBand="1"/>
      </w:tblPr>
      <w:tblGrid>
        <w:gridCol w:w="1640"/>
        <w:gridCol w:w="1971"/>
        <w:gridCol w:w="2642"/>
        <w:gridCol w:w="2788"/>
        <w:gridCol w:w="1409"/>
      </w:tblGrid>
      <w:tr w:rsidR="002D2C95" w:rsidRPr="00FA51D2" w:rsidTr="002D2C95">
        <w:trPr>
          <w:trHeight w:val="285"/>
        </w:trPr>
        <w:tc>
          <w:tcPr>
            <w:tcW w:w="785" w:type="pct"/>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autoSpaceDE/>
              <w:autoSpaceDN/>
              <w:adjustRightInd/>
              <w:spacing w:after="0" w:line="276" w:lineRule="auto"/>
              <w:jc w:val="center"/>
              <w:rPr>
                <w:rFonts w:ascii="Verdana" w:eastAsia="Times New Roman" w:hAnsi="Verdana" w:cs="Times New Roman"/>
                <w:b/>
                <w:bCs/>
                <w:color w:val="FFFFFF"/>
                <w:sz w:val="16"/>
                <w:szCs w:val="18"/>
              </w:rPr>
            </w:pPr>
            <w:r w:rsidRPr="00FA51D2">
              <w:rPr>
                <w:rFonts w:ascii="Verdana" w:hAnsi="Verdana"/>
                <w:b/>
                <w:bCs/>
                <w:color w:val="FFFFFF"/>
                <w:sz w:val="16"/>
                <w:szCs w:val="18"/>
              </w:rPr>
              <w:t>Asset Class</w:t>
            </w:r>
          </w:p>
        </w:tc>
        <w:tc>
          <w:tcPr>
            <w:tcW w:w="943" w:type="pct"/>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Assets (GBP Mil)</w:t>
            </w:r>
          </w:p>
        </w:tc>
        <w:tc>
          <w:tcPr>
            <w:tcW w:w="1264" w:type="pct"/>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Current Allocation (%)</w:t>
            </w:r>
          </w:p>
        </w:tc>
        <w:tc>
          <w:tcPr>
            <w:tcW w:w="1334" w:type="pct"/>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 xml:space="preserve">Strategic Allocation </w:t>
            </w:r>
            <w:r>
              <w:rPr>
                <w:rFonts w:ascii="Verdana" w:hAnsi="Verdana"/>
                <w:b/>
                <w:bCs/>
                <w:color w:val="FFFFFF"/>
                <w:sz w:val="16"/>
                <w:szCs w:val="18"/>
              </w:rPr>
              <w:t>(</w:t>
            </w:r>
            <w:r w:rsidRPr="00FA51D2">
              <w:rPr>
                <w:rFonts w:ascii="Verdana" w:hAnsi="Verdana"/>
                <w:b/>
                <w:bCs/>
                <w:color w:val="FFFFFF"/>
                <w:sz w:val="16"/>
                <w:szCs w:val="18"/>
              </w:rPr>
              <w:t>%</w:t>
            </w:r>
            <w:r>
              <w:rPr>
                <w:rFonts w:ascii="Verdana" w:hAnsi="Verdana"/>
                <w:b/>
                <w:bCs/>
                <w:color w:val="FFFFFF"/>
                <w:sz w:val="16"/>
                <w:szCs w:val="18"/>
              </w:rPr>
              <w:t>)</w:t>
            </w:r>
          </w:p>
        </w:tc>
        <w:tc>
          <w:tcPr>
            <w:tcW w:w="675" w:type="pct"/>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Range</w:t>
            </w:r>
          </w:p>
        </w:tc>
      </w:tr>
      <w:tr w:rsidR="002D2C95" w:rsidRPr="00FA51D2" w:rsidTr="002D2C95">
        <w:trPr>
          <w:trHeight w:val="285"/>
        </w:trPr>
        <w:tc>
          <w:tcPr>
            <w:tcW w:w="7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color w:val="auto"/>
                <w:sz w:val="16"/>
                <w:szCs w:val="16"/>
              </w:rPr>
            </w:pPr>
            <w:r w:rsidRPr="00FA51D2">
              <w:rPr>
                <w:rFonts w:ascii="Verdana" w:hAnsi="Verdana"/>
                <w:sz w:val="16"/>
                <w:szCs w:val="16"/>
              </w:rPr>
              <w:t xml:space="preserve">Global </w:t>
            </w:r>
            <w:r>
              <w:rPr>
                <w:rFonts w:ascii="Verdana" w:hAnsi="Verdana"/>
                <w:sz w:val="16"/>
                <w:szCs w:val="16"/>
              </w:rPr>
              <w:t>e</w:t>
            </w:r>
            <w:r w:rsidRPr="00FA51D2">
              <w:rPr>
                <w:rFonts w:ascii="Verdana" w:hAnsi="Verdana"/>
                <w:sz w:val="16"/>
                <w:szCs w:val="16"/>
              </w:rPr>
              <w:t>quities</w:t>
            </w:r>
          </w:p>
        </w:tc>
        <w:tc>
          <w:tcPr>
            <w:tcW w:w="943"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right"/>
              <w:rPr>
                <w:rFonts w:ascii="Verdana" w:hAnsi="Verdana"/>
                <w:sz w:val="16"/>
                <w:szCs w:val="16"/>
              </w:rPr>
            </w:pPr>
            <w:r w:rsidRPr="00FA51D2">
              <w:rPr>
                <w:rFonts w:ascii="Verdana" w:hAnsi="Verdana"/>
                <w:sz w:val="16"/>
                <w:szCs w:val="16"/>
              </w:rPr>
              <w:t>3,21</w:t>
            </w:r>
            <w:r>
              <w:rPr>
                <w:rFonts w:ascii="Verdana" w:hAnsi="Verdana"/>
                <w:sz w:val="16"/>
                <w:szCs w:val="16"/>
              </w:rPr>
              <w:t>4.4</w:t>
            </w:r>
          </w:p>
        </w:tc>
        <w:tc>
          <w:tcPr>
            <w:tcW w:w="126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42.</w:t>
            </w:r>
            <w:r>
              <w:rPr>
                <w:rFonts w:ascii="Verdana" w:hAnsi="Verdana"/>
                <w:sz w:val="16"/>
                <w:szCs w:val="16"/>
              </w:rPr>
              <w:t>2</w:t>
            </w:r>
            <w:r w:rsidRPr="00FA51D2">
              <w:rPr>
                <w:rFonts w:ascii="Verdana" w:hAnsi="Verdana"/>
                <w:sz w:val="16"/>
                <w:szCs w:val="16"/>
              </w:rPr>
              <w:t>%</w:t>
            </w:r>
          </w:p>
        </w:tc>
        <w:tc>
          <w:tcPr>
            <w:tcW w:w="1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42.5%</w:t>
            </w:r>
          </w:p>
        </w:tc>
        <w:tc>
          <w:tcPr>
            <w:tcW w:w="6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40% - 50%</w:t>
            </w:r>
          </w:p>
        </w:tc>
      </w:tr>
      <w:tr w:rsidR="002D2C95" w:rsidRPr="00FA51D2" w:rsidTr="002D2C95">
        <w:trPr>
          <w:trHeight w:val="285"/>
        </w:trPr>
        <w:tc>
          <w:tcPr>
            <w:tcW w:w="7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 xml:space="preserve">Fixed </w:t>
            </w:r>
            <w:r>
              <w:rPr>
                <w:rFonts w:ascii="Verdana" w:hAnsi="Verdana"/>
                <w:sz w:val="16"/>
                <w:szCs w:val="16"/>
              </w:rPr>
              <w:t>i</w:t>
            </w:r>
            <w:r w:rsidRPr="00FA51D2">
              <w:rPr>
                <w:rFonts w:ascii="Verdana" w:hAnsi="Verdana"/>
                <w:sz w:val="16"/>
                <w:szCs w:val="16"/>
              </w:rPr>
              <w:t>ncome</w:t>
            </w:r>
          </w:p>
        </w:tc>
        <w:tc>
          <w:tcPr>
            <w:tcW w:w="943"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right"/>
              <w:rPr>
                <w:rFonts w:ascii="Verdana" w:hAnsi="Verdana"/>
                <w:sz w:val="16"/>
                <w:szCs w:val="16"/>
              </w:rPr>
            </w:pPr>
            <w:r w:rsidRPr="00FA51D2">
              <w:rPr>
                <w:rFonts w:ascii="Verdana" w:hAnsi="Verdana"/>
                <w:sz w:val="16"/>
                <w:szCs w:val="16"/>
              </w:rPr>
              <w:t>18</w:t>
            </w:r>
            <w:r>
              <w:rPr>
                <w:rFonts w:ascii="Verdana" w:hAnsi="Verdana"/>
                <w:sz w:val="16"/>
                <w:szCs w:val="16"/>
              </w:rPr>
              <w:t>3.8</w:t>
            </w:r>
          </w:p>
        </w:tc>
        <w:tc>
          <w:tcPr>
            <w:tcW w:w="126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2.4%</w:t>
            </w:r>
          </w:p>
        </w:tc>
        <w:tc>
          <w:tcPr>
            <w:tcW w:w="1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2.5%</w:t>
            </w:r>
          </w:p>
        </w:tc>
        <w:tc>
          <w:tcPr>
            <w:tcW w:w="6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0% - 10%</w:t>
            </w:r>
          </w:p>
        </w:tc>
      </w:tr>
      <w:tr w:rsidR="002D2C95" w:rsidRPr="00FA51D2" w:rsidTr="002D2C95">
        <w:trPr>
          <w:trHeight w:val="285"/>
        </w:trPr>
        <w:tc>
          <w:tcPr>
            <w:tcW w:w="7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 xml:space="preserve">Private </w:t>
            </w:r>
            <w:r>
              <w:rPr>
                <w:rFonts w:ascii="Verdana" w:hAnsi="Verdana"/>
                <w:sz w:val="16"/>
                <w:szCs w:val="16"/>
              </w:rPr>
              <w:t>e</w:t>
            </w:r>
            <w:r w:rsidRPr="00FA51D2">
              <w:rPr>
                <w:rFonts w:ascii="Verdana" w:hAnsi="Verdana"/>
                <w:sz w:val="16"/>
                <w:szCs w:val="16"/>
              </w:rPr>
              <w:t>quity</w:t>
            </w:r>
          </w:p>
        </w:tc>
        <w:tc>
          <w:tcPr>
            <w:tcW w:w="943"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right"/>
              <w:rPr>
                <w:rFonts w:ascii="Verdana" w:hAnsi="Verdana"/>
                <w:sz w:val="16"/>
                <w:szCs w:val="16"/>
              </w:rPr>
            </w:pPr>
            <w:r w:rsidRPr="00FA51D2">
              <w:rPr>
                <w:rFonts w:ascii="Verdana" w:hAnsi="Verdana"/>
                <w:sz w:val="16"/>
                <w:szCs w:val="16"/>
              </w:rPr>
              <w:t>54</w:t>
            </w:r>
            <w:r>
              <w:rPr>
                <w:rFonts w:ascii="Verdana" w:hAnsi="Verdana"/>
                <w:sz w:val="16"/>
                <w:szCs w:val="16"/>
              </w:rPr>
              <w:t>7.7</w:t>
            </w:r>
          </w:p>
        </w:tc>
        <w:tc>
          <w:tcPr>
            <w:tcW w:w="126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7.2%</w:t>
            </w:r>
          </w:p>
        </w:tc>
        <w:tc>
          <w:tcPr>
            <w:tcW w:w="1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5.0%</w:t>
            </w:r>
          </w:p>
        </w:tc>
        <w:tc>
          <w:tcPr>
            <w:tcW w:w="6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0% - 10%</w:t>
            </w:r>
          </w:p>
        </w:tc>
      </w:tr>
      <w:tr w:rsidR="002D2C95" w:rsidRPr="00FA51D2" w:rsidTr="002D2C95">
        <w:trPr>
          <w:trHeight w:val="285"/>
        </w:trPr>
        <w:tc>
          <w:tcPr>
            <w:tcW w:w="7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Infrastructure</w:t>
            </w:r>
          </w:p>
        </w:tc>
        <w:tc>
          <w:tcPr>
            <w:tcW w:w="9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FA51D2" w:rsidRDefault="002D2C95" w:rsidP="002D2C95">
            <w:pPr>
              <w:spacing w:after="0" w:line="276" w:lineRule="auto"/>
              <w:jc w:val="right"/>
              <w:rPr>
                <w:rFonts w:ascii="Verdana" w:hAnsi="Verdana"/>
                <w:sz w:val="16"/>
                <w:szCs w:val="16"/>
              </w:rPr>
            </w:pPr>
            <w:r>
              <w:rPr>
                <w:rFonts w:ascii="Verdana" w:hAnsi="Verdana"/>
                <w:sz w:val="16"/>
                <w:szCs w:val="16"/>
              </w:rPr>
              <w:t>991.2</w:t>
            </w:r>
          </w:p>
        </w:tc>
        <w:tc>
          <w:tcPr>
            <w:tcW w:w="126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13.</w:t>
            </w:r>
            <w:r>
              <w:rPr>
                <w:rFonts w:ascii="Verdana" w:hAnsi="Verdana"/>
                <w:sz w:val="16"/>
                <w:szCs w:val="16"/>
              </w:rPr>
              <w:t>0</w:t>
            </w:r>
            <w:r w:rsidRPr="00FA51D2">
              <w:rPr>
                <w:rFonts w:ascii="Verdana" w:hAnsi="Verdana"/>
                <w:sz w:val="16"/>
                <w:szCs w:val="16"/>
              </w:rPr>
              <w:t>%</w:t>
            </w:r>
          </w:p>
        </w:tc>
        <w:tc>
          <w:tcPr>
            <w:tcW w:w="1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15.0%</w:t>
            </w:r>
          </w:p>
        </w:tc>
        <w:tc>
          <w:tcPr>
            <w:tcW w:w="6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10% - 20%</w:t>
            </w:r>
          </w:p>
        </w:tc>
      </w:tr>
      <w:tr w:rsidR="002D2C95" w:rsidRPr="00FA51D2" w:rsidTr="002D2C95">
        <w:trPr>
          <w:trHeight w:val="285"/>
        </w:trPr>
        <w:tc>
          <w:tcPr>
            <w:tcW w:w="7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Credit</w:t>
            </w:r>
          </w:p>
        </w:tc>
        <w:tc>
          <w:tcPr>
            <w:tcW w:w="943"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right"/>
              <w:rPr>
                <w:rFonts w:ascii="Verdana" w:hAnsi="Verdana"/>
                <w:sz w:val="16"/>
                <w:szCs w:val="16"/>
              </w:rPr>
            </w:pPr>
            <w:r w:rsidRPr="00FA51D2">
              <w:rPr>
                <w:rFonts w:ascii="Verdana" w:hAnsi="Verdana"/>
                <w:sz w:val="16"/>
                <w:szCs w:val="16"/>
              </w:rPr>
              <w:t>1,56</w:t>
            </w:r>
            <w:r>
              <w:rPr>
                <w:rFonts w:ascii="Verdana" w:hAnsi="Verdana"/>
                <w:sz w:val="16"/>
                <w:szCs w:val="16"/>
              </w:rPr>
              <w:t>2.3</w:t>
            </w:r>
          </w:p>
        </w:tc>
        <w:tc>
          <w:tcPr>
            <w:tcW w:w="126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20.6%</w:t>
            </w:r>
          </w:p>
        </w:tc>
        <w:tc>
          <w:tcPr>
            <w:tcW w:w="1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19.0%</w:t>
            </w:r>
          </w:p>
        </w:tc>
        <w:tc>
          <w:tcPr>
            <w:tcW w:w="6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10% - 25%</w:t>
            </w:r>
          </w:p>
        </w:tc>
      </w:tr>
      <w:tr w:rsidR="002D2C95" w:rsidRPr="00FA51D2" w:rsidTr="002D2C95">
        <w:trPr>
          <w:trHeight w:val="285"/>
        </w:trPr>
        <w:tc>
          <w:tcPr>
            <w:tcW w:w="7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 xml:space="preserve">Real </w:t>
            </w:r>
            <w:r>
              <w:rPr>
                <w:rFonts w:ascii="Verdana" w:hAnsi="Verdana"/>
                <w:sz w:val="16"/>
                <w:szCs w:val="16"/>
              </w:rPr>
              <w:t>e</w:t>
            </w:r>
            <w:r w:rsidRPr="00FA51D2">
              <w:rPr>
                <w:rFonts w:ascii="Verdana" w:hAnsi="Verdana"/>
                <w:sz w:val="16"/>
                <w:szCs w:val="16"/>
              </w:rPr>
              <w:t>state</w:t>
            </w:r>
          </w:p>
        </w:tc>
        <w:tc>
          <w:tcPr>
            <w:tcW w:w="943"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right"/>
              <w:rPr>
                <w:rFonts w:ascii="Verdana" w:hAnsi="Verdana"/>
                <w:sz w:val="16"/>
                <w:szCs w:val="16"/>
              </w:rPr>
            </w:pPr>
            <w:r w:rsidRPr="00FA51D2">
              <w:rPr>
                <w:rFonts w:ascii="Verdana" w:hAnsi="Verdana"/>
                <w:sz w:val="16"/>
                <w:szCs w:val="16"/>
              </w:rPr>
              <w:t>8</w:t>
            </w:r>
            <w:r>
              <w:rPr>
                <w:rFonts w:ascii="Verdana" w:hAnsi="Verdana"/>
                <w:sz w:val="16"/>
                <w:szCs w:val="16"/>
              </w:rPr>
              <w:t>28.8</w:t>
            </w:r>
          </w:p>
        </w:tc>
        <w:tc>
          <w:tcPr>
            <w:tcW w:w="126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10.9%</w:t>
            </w:r>
          </w:p>
        </w:tc>
        <w:tc>
          <w:tcPr>
            <w:tcW w:w="1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15.0%</w:t>
            </w:r>
          </w:p>
        </w:tc>
        <w:tc>
          <w:tcPr>
            <w:tcW w:w="6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10% - 20%</w:t>
            </w:r>
          </w:p>
        </w:tc>
      </w:tr>
      <w:tr w:rsidR="002D2C95" w:rsidRPr="00FA51D2" w:rsidTr="002D2C95">
        <w:trPr>
          <w:trHeight w:val="285"/>
        </w:trPr>
        <w:tc>
          <w:tcPr>
            <w:tcW w:w="78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Cash</w:t>
            </w:r>
          </w:p>
        </w:tc>
        <w:tc>
          <w:tcPr>
            <w:tcW w:w="943"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right"/>
              <w:rPr>
                <w:rFonts w:ascii="Verdana" w:hAnsi="Verdana"/>
                <w:sz w:val="16"/>
                <w:szCs w:val="16"/>
              </w:rPr>
            </w:pPr>
            <w:r w:rsidRPr="00FA51D2">
              <w:rPr>
                <w:rFonts w:ascii="Verdana" w:hAnsi="Verdana"/>
                <w:sz w:val="16"/>
                <w:szCs w:val="16"/>
              </w:rPr>
              <w:t>2</w:t>
            </w:r>
            <w:r>
              <w:rPr>
                <w:rFonts w:ascii="Verdana" w:hAnsi="Verdana"/>
                <w:sz w:val="16"/>
                <w:szCs w:val="16"/>
              </w:rPr>
              <w:t>82.0</w:t>
            </w:r>
          </w:p>
        </w:tc>
        <w:tc>
          <w:tcPr>
            <w:tcW w:w="126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Pr>
                <w:rFonts w:ascii="Verdana" w:hAnsi="Verdana"/>
                <w:sz w:val="16"/>
                <w:szCs w:val="16"/>
              </w:rPr>
              <w:t>3</w:t>
            </w:r>
            <w:r w:rsidRPr="00FA51D2">
              <w:rPr>
                <w:rFonts w:ascii="Verdana" w:hAnsi="Verdana"/>
                <w:sz w:val="16"/>
                <w:szCs w:val="16"/>
              </w:rPr>
              <w:t>.7%</w:t>
            </w:r>
          </w:p>
        </w:tc>
        <w:tc>
          <w:tcPr>
            <w:tcW w:w="133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1.0%</w:t>
            </w:r>
          </w:p>
        </w:tc>
        <w:tc>
          <w:tcPr>
            <w:tcW w:w="67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sz w:val="16"/>
                <w:szCs w:val="16"/>
              </w:rPr>
            </w:pPr>
            <w:r w:rsidRPr="00FA51D2">
              <w:rPr>
                <w:rFonts w:ascii="Verdana" w:hAnsi="Verdana"/>
                <w:sz w:val="16"/>
                <w:szCs w:val="16"/>
              </w:rPr>
              <w:t>0% - 5%</w:t>
            </w:r>
          </w:p>
        </w:tc>
      </w:tr>
      <w:tr w:rsidR="002D2C95" w:rsidRPr="00FA51D2" w:rsidTr="002D2C95">
        <w:trPr>
          <w:trHeight w:val="285"/>
        </w:trPr>
        <w:tc>
          <w:tcPr>
            <w:tcW w:w="785" w:type="pct"/>
            <w:tcBorders>
              <w:top w:val="nil"/>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Total</w:t>
            </w:r>
          </w:p>
        </w:tc>
        <w:tc>
          <w:tcPr>
            <w:tcW w:w="943" w:type="pct"/>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right"/>
              <w:rPr>
                <w:rFonts w:ascii="Verdana" w:hAnsi="Verdana"/>
                <w:b/>
                <w:bCs/>
                <w:color w:val="FFFFFF"/>
                <w:sz w:val="16"/>
                <w:szCs w:val="18"/>
              </w:rPr>
            </w:pPr>
            <w:r w:rsidRPr="00FA51D2">
              <w:rPr>
                <w:rFonts w:ascii="Verdana" w:hAnsi="Verdana"/>
                <w:b/>
                <w:bCs/>
                <w:color w:val="FFFFFF"/>
                <w:sz w:val="16"/>
                <w:szCs w:val="18"/>
              </w:rPr>
              <w:t>7,6</w:t>
            </w:r>
            <w:r>
              <w:rPr>
                <w:rFonts w:ascii="Verdana" w:hAnsi="Verdana"/>
                <w:b/>
                <w:bCs/>
                <w:color w:val="FFFFFF"/>
                <w:sz w:val="16"/>
                <w:szCs w:val="18"/>
              </w:rPr>
              <w:t>10.2</w:t>
            </w:r>
          </w:p>
        </w:tc>
        <w:tc>
          <w:tcPr>
            <w:tcW w:w="1264" w:type="pct"/>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100</w:t>
            </w:r>
            <w:r>
              <w:rPr>
                <w:rFonts w:ascii="Verdana" w:hAnsi="Verdana"/>
                <w:b/>
                <w:bCs/>
                <w:color w:val="FFFFFF"/>
                <w:sz w:val="16"/>
                <w:szCs w:val="18"/>
              </w:rPr>
              <w:t>.0</w:t>
            </w:r>
            <w:r w:rsidRPr="00FA51D2">
              <w:rPr>
                <w:rFonts w:ascii="Verdana" w:hAnsi="Verdana"/>
                <w:b/>
                <w:bCs/>
                <w:color w:val="FFFFFF"/>
                <w:sz w:val="16"/>
                <w:szCs w:val="18"/>
              </w:rPr>
              <w:t>%</w:t>
            </w:r>
          </w:p>
        </w:tc>
        <w:tc>
          <w:tcPr>
            <w:tcW w:w="1334" w:type="pct"/>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100</w:t>
            </w:r>
            <w:r>
              <w:rPr>
                <w:rFonts w:ascii="Verdana" w:hAnsi="Verdana"/>
                <w:b/>
                <w:bCs/>
                <w:color w:val="FFFFFF"/>
                <w:sz w:val="16"/>
                <w:szCs w:val="18"/>
              </w:rPr>
              <w:t>.0</w:t>
            </w:r>
            <w:r w:rsidRPr="00FA51D2">
              <w:rPr>
                <w:rFonts w:ascii="Verdana" w:hAnsi="Verdana"/>
                <w:b/>
                <w:bCs/>
                <w:color w:val="FFFFFF"/>
                <w:sz w:val="16"/>
                <w:szCs w:val="18"/>
              </w:rPr>
              <w:t>%</w:t>
            </w:r>
          </w:p>
        </w:tc>
        <w:tc>
          <w:tcPr>
            <w:tcW w:w="675" w:type="pct"/>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FA51D2" w:rsidRDefault="002D2C95" w:rsidP="002D2C95">
            <w:pPr>
              <w:spacing w:after="0" w:line="276" w:lineRule="auto"/>
              <w:jc w:val="center"/>
              <w:rPr>
                <w:rFonts w:ascii="Verdana" w:hAnsi="Verdana"/>
                <w:b/>
                <w:bCs/>
                <w:color w:val="FFFFFF"/>
                <w:sz w:val="16"/>
                <w:szCs w:val="18"/>
              </w:rPr>
            </w:pPr>
          </w:p>
        </w:tc>
      </w:tr>
    </w:tbl>
    <w:p w:rsidR="002D2C95" w:rsidRDefault="002D2C95" w:rsidP="002D2C95">
      <w:pPr>
        <w:spacing w:after="0" w:line="276" w:lineRule="auto"/>
        <w:rPr>
          <w:rFonts w:ascii="Verdana" w:eastAsia="Times New Roman" w:hAnsi="Verdana" w:cs="Arial"/>
          <w:b/>
          <w:color w:val="auto"/>
          <w:sz w:val="20"/>
          <w:szCs w:val="20"/>
          <w:lang w:eastAsia="en-GB"/>
        </w:rPr>
      </w:pPr>
    </w:p>
    <w:p w:rsidR="002D2C95" w:rsidRDefault="002D2C95" w:rsidP="002D2C95">
      <w:pPr>
        <w:widowControl w:val="0"/>
        <w:spacing w:line="276" w:lineRule="auto"/>
        <w:rPr>
          <w:rFonts w:ascii="Verdana" w:eastAsia="Times New Roman" w:hAnsi="Verdana" w:cs="Arial"/>
          <w:b/>
          <w:color w:val="auto"/>
          <w:sz w:val="20"/>
          <w:szCs w:val="20"/>
          <w:lang w:eastAsia="en-GB"/>
        </w:rPr>
      </w:pPr>
      <w:r w:rsidRPr="00671B83">
        <w:rPr>
          <w:rFonts w:ascii="Verdana" w:eastAsia="Times New Roman" w:hAnsi="Verdana" w:cs="Arial"/>
          <w:b/>
          <w:color w:val="auto"/>
          <w:sz w:val="20"/>
          <w:szCs w:val="20"/>
          <w:lang w:eastAsia="en-GB"/>
        </w:rPr>
        <w:t xml:space="preserve">Asset </w:t>
      </w:r>
      <w:r>
        <w:rPr>
          <w:rFonts w:ascii="Verdana" w:eastAsia="Times New Roman" w:hAnsi="Verdana" w:cs="Arial"/>
          <w:b/>
          <w:color w:val="auto"/>
          <w:sz w:val="20"/>
          <w:szCs w:val="20"/>
          <w:lang w:eastAsia="en-GB"/>
        </w:rPr>
        <w:t>a</w:t>
      </w:r>
      <w:r w:rsidRPr="00671B83">
        <w:rPr>
          <w:rFonts w:ascii="Verdana" w:eastAsia="Times New Roman" w:hAnsi="Verdana" w:cs="Arial"/>
          <w:b/>
          <w:color w:val="auto"/>
          <w:sz w:val="20"/>
          <w:szCs w:val="20"/>
          <w:lang w:eastAsia="en-GB"/>
        </w:rPr>
        <w:t>llocation</w:t>
      </w:r>
      <w:r>
        <w:rPr>
          <w:rFonts w:ascii="Verdana" w:eastAsia="Times New Roman" w:hAnsi="Verdana" w:cs="Arial"/>
          <w:b/>
          <w:color w:val="auto"/>
          <w:sz w:val="20"/>
          <w:szCs w:val="20"/>
          <w:lang w:eastAsia="en-GB"/>
        </w:rPr>
        <w:t xml:space="preserve"> – March 2017</w:t>
      </w:r>
    </w:p>
    <w:p w:rsidR="002D2C95" w:rsidRDefault="002D2C95" w:rsidP="002D2C95">
      <w:pPr>
        <w:widowControl w:val="0"/>
        <w:spacing w:after="0" w:line="276" w:lineRule="auto"/>
        <w:rPr>
          <w:rFonts w:ascii="Verdana" w:eastAsia="Times New Roman" w:hAnsi="Verdana" w:cs="Arial"/>
          <w:b/>
          <w:color w:val="auto"/>
          <w:sz w:val="20"/>
          <w:szCs w:val="20"/>
          <w:lang w:eastAsia="en-GB"/>
        </w:rPr>
      </w:pPr>
    </w:p>
    <w:tbl>
      <w:tblPr>
        <w:tblW w:w="5000" w:type="pct"/>
        <w:tblCellMar>
          <w:left w:w="0" w:type="dxa"/>
          <w:right w:w="0" w:type="dxa"/>
        </w:tblCellMar>
        <w:tblLook w:val="04A0" w:firstRow="1" w:lastRow="0" w:firstColumn="1" w:lastColumn="0" w:noHBand="0" w:noVBand="1"/>
      </w:tblPr>
      <w:tblGrid>
        <w:gridCol w:w="1864"/>
        <w:gridCol w:w="1979"/>
        <w:gridCol w:w="2707"/>
        <w:gridCol w:w="2650"/>
        <w:gridCol w:w="1250"/>
      </w:tblGrid>
      <w:tr w:rsidR="002D2C95" w:rsidRPr="0092334E" w:rsidTr="002D2C95">
        <w:trPr>
          <w:trHeight w:val="285"/>
        </w:trPr>
        <w:tc>
          <w:tcPr>
            <w:tcW w:w="892" w:type="pct"/>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autoSpaceDE/>
              <w:autoSpaceDN/>
              <w:adjustRightInd/>
              <w:spacing w:after="0"/>
              <w:jc w:val="center"/>
              <w:rPr>
                <w:rFonts w:ascii="Verdana" w:eastAsia="Times New Roman" w:hAnsi="Verdana" w:cs="Times New Roman"/>
                <w:b/>
                <w:bCs/>
                <w:color w:val="FFFFFF"/>
                <w:sz w:val="16"/>
                <w:szCs w:val="16"/>
              </w:rPr>
            </w:pPr>
            <w:r w:rsidRPr="0092334E">
              <w:rPr>
                <w:rFonts w:ascii="Verdana" w:hAnsi="Verdana"/>
                <w:b/>
                <w:bCs/>
                <w:color w:val="FFFFFF"/>
                <w:sz w:val="16"/>
                <w:szCs w:val="16"/>
              </w:rPr>
              <w:t>Asset Class</w:t>
            </w:r>
          </w:p>
        </w:tc>
        <w:tc>
          <w:tcPr>
            <w:tcW w:w="947" w:type="pct"/>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r w:rsidRPr="0092334E">
              <w:rPr>
                <w:rFonts w:ascii="Verdana" w:hAnsi="Verdana"/>
                <w:b/>
                <w:bCs/>
                <w:color w:val="FFFFFF"/>
                <w:sz w:val="16"/>
                <w:szCs w:val="16"/>
              </w:rPr>
              <w:t>Assets (GBP Mil)</w:t>
            </w:r>
          </w:p>
        </w:tc>
        <w:tc>
          <w:tcPr>
            <w:tcW w:w="1295" w:type="pct"/>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r w:rsidRPr="0092334E">
              <w:rPr>
                <w:rFonts w:ascii="Verdana" w:hAnsi="Verdana"/>
                <w:b/>
                <w:bCs/>
                <w:color w:val="FFFFFF"/>
                <w:sz w:val="16"/>
                <w:szCs w:val="16"/>
              </w:rPr>
              <w:t>Current Allocation (%)</w:t>
            </w:r>
          </w:p>
        </w:tc>
        <w:tc>
          <w:tcPr>
            <w:tcW w:w="1268" w:type="pct"/>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r w:rsidRPr="0092334E">
              <w:rPr>
                <w:rFonts w:ascii="Verdana" w:hAnsi="Verdana"/>
                <w:b/>
                <w:bCs/>
                <w:color w:val="FFFFFF"/>
                <w:sz w:val="16"/>
                <w:szCs w:val="16"/>
              </w:rPr>
              <w:t>Strategic Allocation %</w:t>
            </w:r>
          </w:p>
        </w:tc>
        <w:tc>
          <w:tcPr>
            <w:tcW w:w="598" w:type="pct"/>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r w:rsidRPr="0092334E">
              <w:rPr>
                <w:rFonts w:ascii="Verdana" w:hAnsi="Verdana"/>
                <w:b/>
                <w:bCs/>
                <w:color w:val="FFFFFF"/>
                <w:sz w:val="16"/>
                <w:szCs w:val="16"/>
              </w:rPr>
              <w:t>Range</w:t>
            </w:r>
          </w:p>
        </w:tc>
      </w:tr>
      <w:tr w:rsidR="002D2C95" w:rsidRPr="0092334E" w:rsidTr="002D2C95">
        <w:trPr>
          <w:trHeight w:val="285"/>
        </w:trPr>
        <w:tc>
          <w:tcPr>
            <w:tcW w:w="8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color w:val="auto"/>
                <w:sz w:val="16"/>
                <w:szCs w:val="16"/>
              </w:rPr>
            </w:pPr>
            <w:r w:rsidRPr="0092334E">
              <w:rPr>
                <w:rFonts w:ascii="Verdana" w:hAnsi="Verdana"/>
                <w:sz w:val="16"/>
                <w:szCs w:val="16"/>
              </w:rPr>
              <w:t xml:space="preserve">Global </w:t>
            </w:r>
            <w:r>
              <w:rPr>
                <w:rFonts w:ascii="Verdana" w:hAnsi="Verdana"/>
                <w:sz w:val="16"/>
                <w:szCs w:val="16"/>
              </w:rPr>
              <w:t>e</w:t>
            </w:r>
            <w:r w:rsidRPr="0092334E">
              <w:rPr>
                <w:rFonts w:ascii="Verdana" w:hAnsi="Verdana"/>
                <w:sz w:val="16"/>
                <w:szCs w:val="16"/>
              </w:rPr>
              <w:t>quities</w:t>
            </w:r>
          </w:p>
        </w:tc>
        <w:tc>
          <w:tcPr>
            <w:tcW w:w="94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3,16</w:t>
            </w:r>
            <w:r>
              <w:rPr>
                <w:rFonts w:ascii="Verdana" w:hAnsi="Verdana"/>
                <w:sz w:val="16"/>
                <w:szCs w:val="16"/>
              </w:rPr>
              <w:t>8.2</w:t>
            </w:r>
          </w:p>
        </w:tc>
        <w:tc>
          <w:tcPr>
            <w:tcW w:w="129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44.</w:t>
            </w:r>
            <w:r>
              <w:rPr>
                <w:rFonts w:ascii="Verdana" w:hAnsi="Verdana"/>
                <w:sz w:val="16"/>
                <w:szCs w:val="16"/>
              </w:rPr>
              <w:t>1</w:t>
            </w:r>
            <w:r w:rsidRPr="0092334E">
              <w:rPr>
                <w:rFonts w:ascii="Verdana" w:hAnsi="Verdana"/>
                <w:sz w:val="16"/>
                <w:szCs w:val="16"/>
              </w:rPr>
              <w:t>%</w:t>
            </w:r>
          </w:p>
        </w:tc>
        <w:tc>
          <w:tcPr>
            <w:tcW w:w="12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42.5%</w:t>
            </w:r>
          </w:p>
        </w:tc>
        <w:tc>
          <w:tcPr>
            <w:tcW w:w="59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40% - 50%</w:t>
            </w:r>
          </w:p>
        </w:tc>
      </w:tr>
      <w:tr w:rsidR="002D2C95" w:rsidRPr="0092334E" w:rsidTr="002D2C95">
        <w:trPr>
          <w:trHeight w:val="285"/>
        </w:trPr>
        <w:tc>
          <w:tcPr>
            <w:tcW w:w="8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 xml:space="preserve">Fixed </w:t>
            </w:r>
            <w:r>
              <w:rPr>
                <w:rFonts w:ascii="Verdana" w:hAnsi="Verdana"/>
                <w:sz w:val="16"/>
                <w:szCs w:val="16"/>
              </w:rPr>
              <w:t>i</w:t>
            </w:r>
            <w:r w:rsidRPr="0092334E">
              <w:rPr>
                <w:rFonts w:ascii="Verdana" w:hAnsi="Verdana"/>
                <w:sz w:val="16"/>
                <w:szCs w:val="16"/>
              </w:rPr>
              <w:t>ncome</w:t>
            </w:r>
          </w:p>
        </w:tc>
        <w:tc>
          <w:tcPr>
            <w:tcW w:w="94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0</w:t>
            </w:r>
          </w:p>
        </w:tc>
        <w:tc>
          <w:tcPr>
            <w:tcW w:w="129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0.0%</w:t>
            </w:r>
          </w:p>
        </w:tc>
        <w:tc>
          <w:tcPr>
            <w:tcW w:w="12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2.5%</w:t>
            </w:r>
          </w:p>
        </w:tc>
        <w:tc>
          <w:tcPr>
            <w:tcW w:w="59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0% - 10%</w:t>
            </w:r>
          </w:p>
        </w:tc>
      </w:tr>
      <w:tr w:rsidR="002D2C95" w:rsidRPr="0092334E" w:rsidTr="002D2C95">
        <w:trPr>
          <w:trHeight w:val="285"/>
        </w:trPr>
        <w:tc>
          <w:tcPr>
            <w:tcW w:w="8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 xml:space="preserve">Private </w:t>
            </w:r>
            <w:r>
              <w:rPr>
                <w:rFonts w:ascii="Verdana" w:hAnsi="Verdana"/>
                <w:sz w:val="16"/>
                <w:szCs w:val="16"/>
              </w:rPr>
              <w:t>e</w:t>
            </w:r>
            <w:r w:rsidRPr="0092334E">
              <w:rPr>
                <w:rFonts w:ascii="Verdana" w:hAnsi="Verdana"/>
                <w:sz w:val="16"/>
                <w:szCs w:val="16"/>
              </w:rPr>
              <w:t>quity</w:t>
            </w:r>
          </w:p>
        </w:tc>
        <w:tc>
          <w:tcPr>
            <w:tcW w:w="94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48</w:t>
            </w:r>
            <w:r>
              <w:rPr>
                <w:rFonts w:ascii="Verdana" w:hAnsi="Verdana"/>
                <w:sz w:val="16"/>
                <w:szCs w:val="16"/>
              </w:rPr>
              <w:t>0.9</w:t>
            </w:r>
          </w:p>
        </w:tc>
        <w:tc>
          <w:tcPr>
            <w:tcW w:w="129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6.7%</w:t>
            </w:r>
          </w:p>
        </w:tc>
        <w:tc>
          <w:tcPr>
            <w:tcW w:w="12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7.5%</w:t>
            </w:r>
          </w:p>
        </w:tc>
        <w:tc>
          <w:tcPr>
            <w:tcW w:w="59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0% - 10%</w:t>
            </w:r>
          </w:p>
        </w:tc>
      </w:tr>
      <w:tr w:rsidR="002D2C95" w:rsidRPr="0092334E" w:rsidTr="002D2C95">
        <w:trPr>
          <w:trHeight w:val="285"/>
        </w:trPr>
        <w:tc>
          <w:tcPr>
            <w:tcW w:w="8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Infrastructure</w:t>
            </w:r>
          </w:p>
        </w:tc>
        <w:tc>
          <w:tcPr>
            <w:tcW w:w="9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9</w:t>
            </w:r>
            <w:r>
              <w:rPr>
                <w:rFonts w:ascii="Verdana" w:hAnsi="Verdana"/>
                <w:sz w:val="16"/>
                <w:szCs w:val="16"/>
              </w:rPr>
              <w:t>40.6</w:t>
            </w:r>
          </w:p>
        </w:tc>
        <w:tc>
          <w:tcPr>
            <w:tcW w:w="129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13.</w:t>
            </w:r>
            <w:r>
              <w:rPr>
                <w:rFonts w:ascii="Verdana" w:hAnsi="Verdana"/>
                <w:sz w:val="16"/>
                <w:szCs w:val="16"/>
              </w:rPr>
              <w:t>1</w:t>
            </w:r>
            <w:r w:rsidRPr="0092334E">
              <w:rPr>
                <w:rFonts w:ascii="Verdana" w:hAnsi="Verdana"/>
                <w:sz w:val="16"/>
                <w:szCs w:val="16"/>
              </w:rPr>
              <w:t>%</w:t>
            </w:r>
          </w:p>
        </w:tc>
        <w:tc>
          <w:tcPr>
            <w:tcW w:w="12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12.5%</w:t>
            </w:r>
          </w:p>
        </w:tc>
        <w:tc>
          <w:tcPr>
            <w:tcW w:w="5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10% - 20%</w:t>
            </w:r>
          </w:p>
        </w:tc>
      </w:tr>
      <w:tr w:rsidR="002D2C95" w:rsidRPr="0092334E" w:rsidTr="002D2C95">
        <w:trPr>
          <w:trHeight w:val="285"/>
        </w:trPr>
        <w:tc>
          <w:tcPr>
            <w:tcW w:w="8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Credit</w:t>
            </w:r>
          </w:p>
        </w:tc>
        <w:tc>
          <w:tcPr>
            <w:tcW w:w="94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1,7</w:t>
            </w:r>
            <w:r>
              <w:rPr>
                <w:rFonts w:ascii="Verdana" w:hAnsi="Verdana"/>
                <w:sz w:val="16"/>
                <w:szCs w:val="16"/>
              </w:rPr>
              <w:t>30.2</w:t>
            </w:r>
          </w:p>
        </w:tc>
        <w:tc>
          <w:tcPr>
            <w:tcW w:w="129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24.1%</w:t>
            </w:r>
          </w:p>
        </w:tc>
        <w:tc>
          <w:tcPr>
            <w:tcW w:w="12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20.0%</w:t>
            </w:r>
          </w:p>
        </w:tc>
        <w:tc>
          <w:tcPr>
            <w:tcW w:w="59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10% - 25%</w:t>
            </w:r>
          </w:p>
        </w:tc>
      </w:tr>
      <w:tr w:rsidR="002D2C95" w:rsidRPr="0092334E" w:rsidTr="002D2C95">
        <w:trPr>
          <w:trHeight w:val="285"/>
        </w:trPr>
        <w:tc>
          <w:tcPr>
            <w:tcW w:w="8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 xml:space="preserve">Real </w:t>
            </w:r>
            <w:r>
              <w:rPr>
                <w:rFonts w:ascii="Verdana" w:hAnsi="Verdana"/>
                <w:sz w:val="16"/>
                <w:szCs w:val="16"/>
              </w:rPr>
              <w:t>e</w:t>
            </w:r>
            <w:r w:rsidRPr="0092334E">
              <w:rPr>
                <w:rFonts w:ascii="Verdana" w:hAnsi="Verdana"/>
                <w:sz w:val="16"/>
                <w:szCs w:val="16"/>
              </w:rPr>
              <w:t>state</w:t>
            </w:r>
          </w:p>
        </w:tc>
        <w:tc>
          <w:tcPr>
            <w:tcW w:w="94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73</w:t>
            </w:r>
            <w:r>
              <w:rPr>
                <w:rFonts w:ascii="Verdana" w:hAnsi="Verdana"/>
                <w:sz w:val="16"/>
                <w:szCs w:val="16"/>
              </w:rPr>
              <w:t>6.4</w:t>
            </w:r>
          </w:p>
        </w:tc>
        <w:tc>
          <w:tcPr>
            <w:tcW w:w="129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10.2%</w:t>
            </w:r>
          </w:p>
        </w:tc>
        <w:tc>
          <w:tcPr>
            <w:tcW w:w="12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15.0%</w:t>
            </w:r>
          </w:p>
        </w:tc>
        <w:tc>
          <w:tcPr>
            <w:tcW w:w="59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10% - 20%</w:t>
            </w:r>
          </w:p>
        </w:tc>
      </w:tr>
      <w:tr w:rsidR="002D2C95" w:rsidRPr="0092334E" w:rsidTr="002D2C95">
        <w:trPr>
          <w:trHeight w:val="285"/>
        </w:trPr>
        <w:tc>
          <w:tcPr>
            <w:tcW w:w="89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Cash</w:t>
            </w:r>
          </w:p>
        </w:tc>
        <w:tc>
          <w:tcPr>
            <w:tcW w:w="94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w:t>
            </w:r>
            <w:r>
              <w:rPr>
                <w:rFonts w:ascii="Verdana" w:hAnsi="Verdana"/>
                <w:sz w:val="16"/>
                <w:szCs w:val="16"/>
              </w:rPr>
              <w:t>35.1</w:t>
            </w:r>
          </w:p>
        </w:tc>
        <w:tc>
          <w:tcPr>
            <w:tcW w:w="1295"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1.8%</w:t>
            </w:r>
          </w:p>
        </w:tc>
        <w:tc>
          <w:tcPr>
            <w:tcW w:w="126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0.0%</w:t>
            </w:r>
          </w:p>
        </w:tc>
        <w:tc>
          <w:tcPr>
            <w:tcW w:w="59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sz w:val="16"/>
                <w:szCs w:val="16"/>
              </w:rPr>
            </w:pPr>
            <w:r w:rsidRPr="0092334E">
              <w:rPr>
                <w:rFonts w:ascii="Verdana" w:hAnsi="Verdana"/>
                <w:sz w:val="16"/>
                <w:szCs w:val="16"/>
              </w:rPr>
              <w:t>0% - 5%</w:t>
            </w:r>
          </w:p>
        </w:tc>
      </w:tr>
      <w:tr w:rsidR="002D2C95" w:rsidRPr="0092334E" w:rsidTr="002D2C95">
        <w:trPr>
          <w:trHeight w:val="285"/>
        </w:trPr>
        <w:tc>
          <w:tcPr>
            <w:tcW w:w="892" w:type="pct"/>
            <w:tcBorders>
              <w:top w:val="nil"/>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r w:rsidRPr="0092334E">
              <w:rPr>
                <w:rFonts w:ascii="Verdana" w:hAnsi="Verdana"/>
                <w:b/>
                <w:bCs/>
                <w:color w:val="FFFFFF"/>
                <w:sz w:val="16"/>
                <w:szCs w:val="16"/>
              </w:rPr>
              <w:t>Total</w:t>
            </w:r>
          </w:p>
        </w:tc>
        <w:tc>
          <w:tcPr>
            <w:tcW w:w="947" w:type="pct"/>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r w:rsidRPr="0092334E">
              <w:rPr>
                <w:rFonts w:ascii="Verdana" w:hAnsi="Verdana"/>
                <w:b/>
                <w:bCs/>
                <w:color w:val="FFFFFF"/>
                <w:sz w:val="16"/>
                <w:szCs w:val="16"/>
              </w:rPr>
              <w:t>7,1</w:t>
            </w:r>
            <w:r>
              <w:rPr>
                <w:rFonts w:ascii="Verdana" w:hAnsi="Verdana"/>
                <w:b/>
                <w:bCs/>
                <w:color w:val="FFFFFF"/>
                <w:sz w:val="16"/>
                <w:szCs w:val="16"/>
              </w:rPr>
              <w:t>91.4</w:t>
            </w:r>
          </w:p>
        </w:tc>
        <w:tc>
          <w:tcPr>
            <w:tcW w:w="1295" w:type="pct"/>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r w:rsidRPr="0092334E">
              <w:rPr>
                <w:rFonts w:ascii="Verdana" w:hAnsi="Verdana"/>
                <w:b/>
                <w:bCs/>
                <w:color w:val="FFFFFF"/>
                <w:sz w:val="16"/>
                <w:szCs w:val="16"/>
              </w:rPr>
              <w:t>100%</w:t>
            </w:r>
          </w:p>
        </w:tc>
        <w:tc>
          <w:tcPr>
            <w:tcW w:w="1268" w:type="pct"/>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r w:rsidRPr="0092334E">
              <w:rPr>
                <w:rFonts w:ascii="Verdana" w:hAnsi="Verdana"/>
                <w:b/>
                <w:bCs/>
                <w:color w:val="FFFFFF"/>
                <w:sz w:val="16"/>
                <w:szCs w:val="16"/>
              </w:rPr>
              <w:t>100%</w:t>
            </w:r>
          </w:p>
        </w:tc>
        <w:tc>
          <w:tcPr>
            <w:tcW w:w="598" w:type="pct"/>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2D2C95" w:rsidRPr="0092334E" w:rsidRDefault="002D2C95" w:rsidP="002D2C95">
            <w:pPr>
              <w:spacing w:after="0"/>
              <w:jc w:val="center"/>
              <w:rPr>
                <w:rFonts w:ascii="Verdana" w:hAnsi="Verdana"/>
                <w:b/>
                <w:bCs/>
                <w:color w:val="FFFFFF"/>
                <w:sz w:val="16"/>
                <w:szCs w:val="16"/>
              </w:rPr>
            </w:pPr>
          </w:p>
        </w:tc>
      </w:tr>
    </w:tbl>
    <w:p w:rsidR="002D2C95" w:rsidRDefault="002D2C95" w:rsidP="002D2C95">
      <w:pPr>
        <w:widowControl w:val="0"/>
        <w:spacing w:line="276" w:lineRule="auto"/>
        <w:rPr>
          <w:rFonts w:ascii="Verdana" w:eastAsia="Times New Roman" w:hAnsi="Verdana" w:cs="Arial"/>
          <w:b/>
          <w:color w:val="auto"/>
          <w:sz w:val="20"/>
          <w:szCs w:val="20"/>
          <w:lang w:eastAsia="en-GB"/>
        </w:rPr>
      </w:pPr>
    </w:p>
    <w:p w:rsidR="002D2C95" w:rsidRPr="002D2C95" w:rsidRDefault="002D2C95" w:rsidP="002D2C95">
      <w:pPr>
        <w:spacing w:after="0" w:line="276" w:lineRule="auto"/>
        <w:rPr>
          <w:rFonts w:eastAsia="Times New Roman" w:cs="Arial"/>
          <w:b/>
          <w:color w:val="auto"/>
          <w:lang w:eastAsia="en-GB"/>
        </w:rPr>
      </w:pPr>
      <w:r w:rsidRPr="002D2C95">
        <w:rPr>
          <w:rFonts w:eastAsia="Times New Roman" w:cs="Arial"/>
          <w:b/>
          <w:color w:val="auto"/>
          <w:lang w:eastAsia="en-GB"/>
        </w:rPr>
        <w:t>Global Equities</w:t>
      </w:r>
    </w:p>
    <w:p w:rsidR="002D2C95" w:rsidRPr="002D2C95" w:rsidRDefault="002D2C95" w:rsidP="002D2C95">
      <w:pPr>
        <w:spacing w:after="0" w:line="276" w:lineRule="auto"/>
        <w:rPr>
          <w:rFonts w:eastAsia="Times New Roman" w:cs="Arial"/>
          <w:b/>
          <w:color w:val="auto"/>
          <w:lang w:eastAsia="en-GB"/>
        </w:rPr>
      </w:pPr>
    </w:p>
    <w:p w:rsidR="002D2C95" w:rsidRPr="002D2C95" w:rsidRDefault="002D2C95" w:rsidP="002D2C95">
      <w:pPr>
        <w:spacing w:after="0" w:line="276" w:lineRule="auto"/>
        <w:rPr>
          <w:rFonts w:eastAsia="Times New Roman" w:cs="Arial"/>
          <w:color w:val="auto"/>
          <w:lang w:val="en" w:eastAsia="en-GB"/>
        </w:rPr>
      </w:pPr>
      <w:r w:rsidRPr="002D2C95">
        <w:rPr>
          <w:rFonts w:eastAsia="Times New Roman" w:cs="Arial"/>
          <w:color w:val="auto"/>
          <w:lang w:val="en" w:eastAsia="en-GB"/>
        </w:rPr>
        <w:t>The LPP I Global Equities ACS combines an internally managed portfolio with a variety of world-class external equity managers, which operate with differing and complementary styles of investment selection. During the year LPP I included additional managers within its Global Equity Fund, increasing diversification. Consequently, the full merits of the new strategies need to be better assessed over the longer-term. Also, please note that the inception of the LPP I Global Equities ACS was in October 2016 and therefore the three and five year returns in the chart below are a combination of historical and new strategies. We have also included a split of the pool across the different styles/factors.</w:t>
      </w:r>
    </w:p>
    <w:p w:rsidR="002D2C95" w:rsidRPr="002D2C95" w:rsidRDefault="002D2C95" w:rsidP="002D2C95">
      <w:pPr>
        <w:spacing w:after="0" w:line="276" w:lineRule="auto"/>
        <w:rPr>
          <w:rFonts w:eastAsia="Times New Roman" w:cs="Arial"/>
          <w:color w:val="auto"/>
          <w:lang w:val="en" w:eastAsia="en-GB"/>
        </w:rPr>
      </w:pPr>
    </w:p>
    <w:p w:rsidR="002D2C95" w:rsidRDefault="002D2C95" w:rsidP="002D2C95">
      <w:pPr>
        <w:spacing w:after="0" w:line="276" w:lineRule="auto"/>
        <w:rPr>
          <w:rFonts w:ascii="Verdana" w:eastAsia="Times New Roman" w:hAnsi="Verdana" w:cs="Arial"/>
          <w:color w:val="auto"/>
          <w:sz w:val="20"/>
          <w:szCs w:val="20"/>
          <w:lang w:val="en" w:eastAsia="en-GB"/>
        </w:rPr>
      </w:pPr>
    </w:p>
    <w:p w:rsidR="002D2C95" w:rsidRDefault="002D2C95" w:rsidP="002D2C95">
      <w:pPr>
        <w:spacing w:after="0" w:line="276" w:lineRule="auto"/>
        <w:rPr>
          <w:rFonts w:ascii="Verdana" w:eastAsia="Times New Roman" w:hAnsi="Verdana" w:cs="Arial"/>
          <w:color w:val="auto"/>
          <w:sz w:val="20"/>
          <w:szCs w:val="20"/>
          <w:lang w:val="en" w:eastAsia="en-GB"/>
        </w:rPr>
      </w:pPr>
    </w:p>
    <w:p w:rsidR="002D2C95" w:rsidRPr="00671B83" w:rsidRDefault="002D2C95" w:rsidP="002D2C95">
      <w:pPr>
        <w:spacing w:after="0" w:line="276" w:lineRule="auto"/>
        <w:rPr>
          <w:rFonts w:ascii="Verdana" w:eastAsia="Times New Roman" w:hAnsi="Verdana" w:cs="Arial"/>
          <w:color w:val="auto"/>
          <w:sz w:val="20"/>
          <w:szCs w:val="20"/>
          <w:lang w:val="en" w:eastAsia="en-GB"/>
        </w:rPr>
      </w:pPr>
      <w:r>
        <w:rPr>
          <w:rFonts w:ascii="Verdana" w:eastAsia="Times New Roman" w:hAnsi="Verdana" w:cs="Arial"/>
          <w:noProof/>
          <w:color w:val="auto"/>
          <w:sz w:val="20"/>
          <w:szCs w:val="20"/>
          <w:lang w:eastAsia="en-GB"/>
        </w:rPr>
        <w:lastRenderedPageBreak/>
        <w:drawing>
          <wp:anchor distT="0" distB="0" distL="114300" distR="114300" simplePos="0" relativeHeight="251681792" behindDoc="1" locked="0" layoutInCell="1" allowOverlap="1" wp14:anchorId="5FEDF116" wp14:editId="4646C437">
            <wp:simplePos x="0" y="0"/>
            <wp:positionH relativeFrom="margin">
              <wp:posOffset>0</wp:posOffset>
            </wp:positionH>
            <wp:positionV relativeFrom="margin">
              <wp:posOffset>200025</wp:posOffset>
            </wp:positionV>
            <wp:extent cx="3743325" cy="2371090"/>
            <wp:effectExtent l="19050" t="19050" r="28575" b="10160"/>
            <wp:wrapTight wrapText="bothSides">
              <wp:wrapPolygon edited="0">
                <wp:start x="-110" y="-174"/>
                <wp:lineTo x="-110" y="21519"/>
                <wp:lineTo x="21655" y="21519"/>
                <wp:lineTo x="21655" y="-174"/>
                <wp:lineTo x="-110" y="-17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2371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D2C95" w:rsidRPr="00671B83" w:rsidRDefault="002D2C95" w:rsidP="002D2C95">
      <w:pPr>
        <w:widowControl w:val="0"/>
        <w:spacing w:after="0" w:line="276" w:lineRule="auto"/>
        <w:rPr>
          <w:rFonts w:ascii="Verdana" w:eastAsia="Times New Roman" w:hAnsi="Verdana" w:cs="Arial"/>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Pr="00671B83" w:rsidRDefault="002D2C95" w:rsidP="002D2C95">
      <w:pPr>
        <w:widowControl w:val="0"/>
        <w:spacing w:after="0" w:line="276" w:lineRule="auto"/>
        <w:rPr>
          <w:rFonts w:ascii="Verdana" w:eastAsia="Times New Roman" w:hAnsi="Verdana" w:cs="Arial"/>
          <w:color w:val="auto"/>
          <w:sz w:val="20"/>
          <w:szCs w:val="20"/>
          <w:lang w:eastAsia="en-GB"/>
        </w:rPr>
      </w:pPr>
    </w:p>
    <w:p w:rsidR="002D2C95" w:rsidRDefault="002D2C95" w:rsidP="002D2C95">
      <w:pPr>
        <w:widowControl w:val="0"/>
        <w:spacing w:after="0" w:line="276" w:lineRule="auto"/>
        <w:rPr>
          <w:rFonts w:ascii="Verdana" w:eastAsia="Times New Roman" w:hAnsi="Verdana" w:cs="Arial"/>
          <w:color w:val="auto"/>
          <w:sz w:val="20"/>
          <w:szCs w:val="20"/>
          <w:lang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r>
        <w:rPr>
          <w:rFonts w:ascii="Verdana" w:eastAsia="Times New Roman" w:hAnsi="Verdana" w:cs="Arial"/>
          <w:b/>
          <w:noProof/>
          <w:color w:val="auto"/>
          <w:sz w:val="20"/>
          <w:szCs w:val="20"/>
          <w:lang w:eastAsia="en-GB"/>
        </w:rPr>
        <w:drawing>
          <wp:anchor distT="0" distB="0" distL="114300" distR="114300" simplePos="0" relativeHeight="251675648" behindDoc="1" locked="0" layoutInCell="1" allowOverlap="1" wp14:anchorId="23E2490D" wp14:editId="3B192DBF">
            <wp:simplePos x="0" y="0"/>
            <wp:positionH relativeFrom="margin">
              <wp:align>left</wp:align>
            </wp:positionH>
            <wp:positionV relativeFrom="margin">
              <wp:posOffset>3095625</wp:posOffset>
            </wp:positionV>
            <wp:extent cx="3752850" cy="2498090"/>
            <wp:effectExtent l="0" t="0" r="0" b="0"/>
            <wp:wrapTight wrapText="bothSides">
              <wp:wrapPolygon edited="0">
                <wp:start x="0" y="0"/>
                <wp:lineTo x="0" y="21413"/>
                <wp:lineTo x="21490" y="21413"/>
                <wp:lineTo x="214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2498090"/>
                    </a:xfrm>
                    <a:prstGeom prst="rect">
                      <a:avLst/>
                    </a:prstGeom>
                    <a:noFill/>
                  </pic:spPr>
                </pic:pic>
              </a:graphicData>
            </a:graphic>
            <wp14:sizeRelH relativeFrom="page">
              <wp14:pctWidth>0</wp14:pctWidth>
            </wp14:sizeRelH>
            <wp14:sizeRelV relativeFrom="page">
              <wp14:pctHeight>0</wp14:pctHeight>
            </wp14:sizeRelV>
          </wp:anchor>
        </w:drawing>
      </w: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Default="002D2C95" w:rsidP="002D2C95">
      <w:pPr>
        <w:widowControl w:val="0"/>
        <w:spacing w:after="0" w:line="276" w:lineRule="auto"/>
        <w:rPr>
          <w:rFonts w:eastAsia="Times New Roman" w:cs="Arial"/>
          <w:color w:val="auto"/>
          <w:lang w:val="en" w:eastAsia="en-GB"/>
        </w:rPr>
      </w:pPr>
    </w:p>
    <w:p w:rsidR="002D2C95" w:rsidRDefault="002D2C95" w:rsidP="002D2C95">
      <w:pPr>
        <w:widowControl w:val="0"/>
        <w:spacing w:after="0" w:line="276" w:lineRule="auto"/>
        <w:rPr>
          <w:rFonts w:eastAsia="Times New Roman" w:cs="Arial"/>
          <w:color w:val="auto"/>
          <w:lang w:val="en" w:eastAsia="en-GB"/>
        </w:rPr>
      </w:pPr>
      <w:r>
        <w:rPr>
          <w:rFonts w:eastAsia="Times New Roman" w:cs="Arial"/>
          <w:color w:val="auto"/>
          <w:lang w:val="en" w:eastAsia="en-GB"/>
        </w:rPr>
        <w:t>The largest ten equity holdings of the Fund at 31 March 2018, via the LPPI Global Equities Fund were:</w:t>
      </w:r>
    </w:p>
    <w:p w:rsidR="002D2C95" w:rsidRPr="000D4CCF" w:rsidRDefault="002D2C95" w:rsidP="002D2C95">
      <w:pPr>
        <w:widowControl w:val="0"/>
        <w:spacing w:after="0" w:line="276" w:lineRule="auto"/>
        <w:rPr>
          <w:rFonts w:eastAsia="Times New Roman" w:cs="Arial"/>
          <w:color w:val="auto"/>
          <w:lang w:val="en" w:eastAsia="en-GB"/>
        </w:rPr>
      </w:pPr>
    </w:p>
    <w:p w:rsidR="002D2C95" w:rsidRDefault="002D2C95" w:rsidP="002D2C95">
      <w:pPr>
        <w:widowControl w:val="0"/>
        <w:spacing w:after="0" w:line="276" w:lineRule="auto"/>
        <w:rPr>
          <w:rFonts w:eastAsia="Times New Roman" w:cs="Arial"/>
          <w:b/>
          <w:color w:val="auto"/>
          <w:lang w:val="en" w:eastAsia="en-GB"/>
        </w:rPr>
      </w:pPr>
      <w:r w:rsidRPr="000D4CCF">
        <w:rPr>
          <w:noProof/>
          <w:lang w:eastAsia="en-GB"/>
        </w:rPr>
        <w:drawing>
          <wp:inline distT="0" distB="0" distL="0" distR="0" wp14:anchorId="4FFCD0CD" wp14:editId="30E32F33">
            <wp:extent cx="6642100" cy="1844178"/>
            <wp:effectExtent l="0" t="0" r="635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1844178"/>
                    </a:xfrm>
                    <a:prstGeom prst="rect">
                      <a:avLst/>
                    </a:prstGeom>
                    <a:noFill/>
                    <a:ln>
                      <a:noFill/>
                    </a:ln>
                  </pic:spPr>
                </pic:pic>
              </a:graphicData>
            </a:graphic>
          </wp:inline>
        </w:drawing>
      </w:r>
    </w:p>
    <w:p w:rsidR="002D2C95" w:rsidRDefault="002D2C95" w:rsidP="002D2C95">
      <w:pPr>
        <w:widowControl w:val="0"/>
        <w:spacing w:after="0" w:line="276" w:lineRule="auto"/>
        <w:rPr>
          <w:rFonts w:eastAsia="Times New Roman" w:cs="Arial"/>
          <w:b/>
          <w:color w:val="auto"/>
          <w:lang w:val="en" w:eastAsia="en-GB"/>
        </w:rPr>
      </w:pPr>
    </w:p>
    <w:p w:rsidR="002D2C95" w:rsidRDefault="002D2C95" w:rsidP="002D2C95">
      <w:pPr>
        <w:widowControl w:val="0"/>
        <w:spacing w:after="0" w:line="276" w:lineRule="auto"/>
        <w:rPr>
          <w:rFonts w:ascii="Verdana" w:eastAsia="Times New Roman" w:hAnsi="Verdana" w:cs="Arial"/>
          <w:b/>
          <w:color w:val="auto"/>
          <w:sz w:val="20"/>
          <w:szCs w:val="20"/>
          <w:lang w:val="en" w:eastAsia="en-GB"/>
        </w:rPr>
      </w:pPr>
    </w:p>
    <w:p w:rsidR="002D2C95" w:rsidRPr="002D2C95" w:rsidRDefault="002D2C95" w:rsidP="002D2C95">
      <w:pPr>
        <w:widowControl w:val="0"/>
        <w:spacing w:after="0" w:line="276" w:lineRule="auto"/>
        <w:rPr>
          <w:rFonts w:eastAsia="Times New Roman" w:cs="Arial"/>
          <w:b/>
          <w:color w:val="auto"/>
          <w:lang w:val="en" w:eastAsia="en-GB"/>
        </w:rPr>
      </w:pPr>
      <w:r w:rsidRPr="002D2C95">
        <w:rPr>
          <w:rFonts w:eastAsia="Times New Roman" w:cs="Arial"/>
          <w:b/>
          <w:color w:val="auto"/>
          <w:lang w:val="en" w:eastAsia="en-GB"/>
        </w:rPr>
        <w:t xml:space="preserve">Private Equity </w:t>
      </w:r>
    </w:p>
    <w:p w:rsidR="002D2C95" w:rsidRPr="002D2C95" w:rsidRDefault="002D2C95" w:rsidP="002D2C95">
      <w:pPr>
        <w:widowControl w:val="0"/>
        <w:spacing w:after="0" w:line="276" w:lineRule="auto"/>
        <w:rPr>
          <w:rFonts w:eastAsia="Times New Roman" w:cs="Arial"/>
          <w:b/>
          <w:color w:val="auto"/>
          <w:lang w:val="en"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 w:eastAsia="en-GB"/>
        </w:rPr>
        <w:lastRenderedPageBreak/>
        <w:t>Private equity investments are held through a variety of closed-ended limited partnerships, which are invested over a wide range of inception dates and managed by a diverse collection of different managers. All LCPF's holdings were transferred into a collective vehicle which continues to invest in a diversified portfolio of third party managers, and increasingly making use of direct “co</w:t>
      </w:r>
      <w:r w:rsidRPr="002D2C95">
        <w:rPr>
          <w:rFonts w:eastAsia="Times New Roman" w:cs="Arial"/>
          <w:color w:val="auto"/>
          <w:lang w:val="en" w:eastAsia="en-GB"/>
        </w:rPr>
        <w:noBreakHyphen/>
        <w:t>investments”.</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bCs/>
          <w:iCs/>
          <w:color w:val="auto"/>
          <w:lang w:val="en" w:eastAsia="en-GB"/>
        </w:rPr>
        <w:t>Private equity</w:t>
      </w:r>
      <w:r w:rsidRPr="002D2C95">
        <w:rPr>
          <w:rFonts w:eastAsia="Times New Roman" w:cs="Arial"/>
          <w:color w:val="auto"/>
          <w:lang w:val="en" w:eastAsia="en-GB"/>
        </w:rPr>
        <w:t xml:space="preserve"> investments provide alternative opportunities to generate returns linked to movements in stock markets. The higher level of engagement by managers in the investee companies leads to an expectation of better long-term returns; at the same time this return expectation needs to be balanced with the higher risk profile and the lack of liquidity of these investments, which typically need to be held from 7-10 years before gains can be realised. </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eastAsia="en-GB"/>
        </w:rPr>
      </w:pPr>
      <w:r w:rsidRPr="002D2C95">
        <w:rPr>
          <w:rFonts w:eastAsia="Times New Roman" w:cs="Arial"/>
          <w:color w:val="auto"/>
          <w:lang w:eastAsia="en-GB"/>
        </w:rPr>
        <w:t xml:space="preserve">In 2017/18, private equity investments performed strongly, buoyed by the strong increases in global equity markets. Valuation increases however, are based on managers estimates rather than actual market prices; therefore, it is more appropriate to look at longer term performance during which investments are made and realised as a guide to performance. 3-year returns have been stellar, and longer-term outperformance has also been maintained. </w:t>
      </w:r>
    </w:p>
    <w:p w:rsidR="002D2C95" w:rsidRDefault="002D2C95" w:rsidP="002D2C95">
      <w:pPr>
        <w:widowControl w:val="0"/>
        <w:spacing w:after="0" w:line="276" w:lineRule="auto"/>
        <w:rPr>
          <w:rFonts w:ascii="Verdana" w:eastAsia="Times New Roman" w:hAnsi="Verdana" w:cs="Arial"/>
          <w:b/>
          <w:color w:val="auto"/>
          <w:sz w:val="20"/>
          <w:szCs w:val="20"/>
          <w:lang w:eastAsia="en-GB"/>
        </w:rPr>
      </w:pPr>
      <w:r>
        <w:rPr>
          <w:rFonts w:ascii="Verdana" w:eastAsia="Times New Roman" w:hAnsi="Verdana" w:cs="Arial"/>
          <w:noProof/>
          <w:color w:val="auto"/>
          <w:sz w:val="20"/>
          <w:szCs w:val="20"/>
          <w:lang w:eastAsia="en-GB"/>
        </w:rPr>
        <w:drawing>
          <wp:anchor distT="0" distB="0" distL="114300" distR="114300" simplePos="0" relativeHeight="251680768" behindDoc="1" locked="0" layoutInCell="1" allowOverlap="1" wp14:anchorId="1696927E" wp14:editId="297EB2E2">
            <wp:simplePos x="0" y="0"/>
            <wp:positionH relativeFrom="margin">
              <wp:align>left</wp:align>
            </wp:positionH>
            <wp:positionV relativeFrom="margin">
              <wp:posOffset>828675</wp:posOffset>
            </wp:positionV>
            <wp:extent cx="3648075" cy="2306955"/>
            <wp:effectExtent l="0" t="0" r="9525" b="0"/>
            <wp:wrapTight wrapText="bothSides">
              <wp:wrapPolygon edited="0">
                <wp:start x="0" y="0"/>
                <wp:lineTo x="0" y="21404"/>
                <wp:lineTo x="21544" y="21404"/>
                <wp:lineTo x="2154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2306955"/>
                    </a:xfrm>
                    <a:prstGeom prst="rect">
                      <a:avLst/>
                    </a:prstGeom>
                    <a:noFill/>
                  </pic:spPr>
                </pic:pic>
              </a:graphicData>
            </a:graphic>
            <wp14:sizeRelH relativeFrom="page">
              <wp14:pctWidth>0</wp14:pctWidth>
            </wp14:sizeRelH>
            <wp14:sizeRelV relativeFrom="page">
              <wp14:pctHeight>0</wp14:pctHeight>
            </wp14:sizeRelV>
          </wp:anchor>
        </w:drawing>
      </w:r>
    </w:p>
    <w:p w:rsidR="002D2C95" w:rsidRDefault="002D2C95" w:rsidP="002D2C95">
      <w:pPr>
        <w:widowControl w:val="0"/>
        <w:spacing w:after="0" w:line="276" w:lineRule="auto"/>
        <w:rPr>
          <w:rFonts w:ascii="Verdana" w:eastAsia="Times New Roman" w:hAnsi="Verdana" w:cs="Arial"/>
          <w:b/>
          <w:color w:val="auto"/>
          <w:sz w:val="20"/>
          <w:szCs w:val="20"/>
          <w:lang w:eastAsia="en-GB"/>
        </w:rPr>
      </w:pPr>
      <w:r>
        <w:rPr>
          <w:rFonts w:ascii="Verdana" w:eastAsia="Times New Roman" w:hAnsi="Verdana" w:cs="Arial"/>
          <w:b/>
          <w:noProof/>
          <w:color w:val="auto"/>
          <w:sz w:val="20"/>
          <w:szCs w:val="20"/>
          <w:lang w:eastAsia="en-GB"/>
        </w:rPr>
        <w:drawing>
          <wp:anchor distT="0" distB="0" distL="114300" distR="114300" simplePos="0" relativeHeight="251678720" behindDoc="1" locked="0" layoutInCell="1" allowOverlap="1" wp14:anchorId="7CA14A09" wp14:editId="52A2357A">
            <wp:simplePos x="0" y="0"/>
            <wp:positionH relativeFrom="margin">
              <wp:align>left</wp:align>
            </wp:positionH>
            <wp:positionV relativeFrom="page">
              <wp:posOffset>4229100</wp:posOffset>
            </wp:positionV>
            <wp:extent cx="3646170" cy="2371725"/>
            <wp:effectExtent l="0" t="0" r="0" b="9525"/>
            <wp:wrapTight wrapText="bothSides">
              <wp:wrapPolygon edited="0">
                <wp:start x="0" y="0"/>
                <wp:lineTo x="0" y="21513"/>
                <wp:lineTo x="21442" y="21513"/>
                <wp:lineTo x="2144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6170" cy="2371725"/>
                    </a:xfrm>
                    <a:prstGeom prst="rect">
                      <a:avLst/>
                    </a:prstGeom>
                    <a:noFill/>
                  </pic:spPr>
                </pic:pic>
              </a:graphicData>
            </a:graphic>
            <wp14:sizeRelH relativeFrom="page">
              <wp14:pctWidth>0</wp14:pctWidth>
            </wp14:sizeRelH>
            <wp14:sizeRelV relativeFrom="page">
              <wp14:pctHeight>0</wp14:pctHeight>
            </wp14:sizeRelV>
          </wp:anchor>
        </w:drawing>
      </w:r>
    </w:p>
    <w:p w:rsidR="002D2C95" w:rsidRDefault="002D2C95" w:rsidP="002D2C95">
      <w:pPr>
        <w:widowControl w:val="0"/>
        <w:spacing w:after="0" w:line="276" w:lineRule="auto"/>
        <w:rPr>
          <w:rFonts w:ascii="Verdana" w:eastAsia="Times New Roman" w:hAnsi="Verdana" w:cs="Arial"/>
          <w:b/>
          <w:color w:val="auto"/>
          <w:sz w:val="20"/>
          <w:szCs w:val="20"/>
          <w:lang w:eastAsia="en-GB"/>
        </w:rPr>
      </w:pPr>
    </w:p>
    <w:p w:rsidR="002D2C95" w:rsidRPr="002D2C95" w:rsidRDefault="002D2C95" w:rsidP="002D2C95">
      <w:pPr>
        <w:widowControl w:val="0"/>
        <w:spacing w:after="0" w:line="276" w:lineRule="auto"/>
        <w:rPr>
          <w:rFonts w:eastAsia="Times New Roman" w:cs="Arial"/>
          <w:color w:val="auto"/>
          <w:lang w:eastAsia="en-GB"/>
        </w:rPr>
      </w:pPr>
      <w:r w:rsidRPr="002D2C95">
        <w:rPr>
          <w:rFonts w:eastAsia="Times New Roman" w:cs="Arial"/>
          <w:b/>
          <w:color w:val="auto"/>
          <w:lang w:eastAsia="en-GB"/>
        </w:rPr>
        <w:t>Property</w:t>
      </w:r>
      <w:r w:rsidRPr="002D2C95">
        <w:rPr>
          <w:rFonts w:eastAsia="Times New Roman" w:cs="Arial"/>
          <w:color w:val="auto"/>
          <w:lang w:eastAsia="en-GB"/>
        </w:rPr>
        <w:t xml:space="preserve"> </w:t>
      </w:r>
    </w:p>
    <w:p w:rsidR="002D2C95" w:rsidRPr="002D2C95" w:rsidRDefault="002D2C95" w:rsidP="002D2C95">
      <w:pPr>
        <w:spacing w:after="0" w:line="276" w:lineRule="auto"/>
        <w:rPr>
          <w:rFonts w:eastAsia="Times New Roman" w:cs="Arial"/>
          <w:color w:val="auto"/>
          <w:lang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 w:eastAsia="en-GB"/>
        </w:rPr>
        <w:t>The Fund dedicates a large portion of its investment portfolio to directly owned UK commercial properties managed by Knight Frank, which also comprises an allocation to local investment opportunities. The Fund also has allocations to a European real estate investment fund managed by M&amp;G and a healthcare property fund managed by Kames.</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eastAsia="en-GB"/>
        </w:rPr>
      </w:pPr>
      <w:r w:rsidRPr="002D2C95">
        <w:rPr>
          <w:rFonts w:eastAsia="Times New Roman" w:cs="Arial"/>
          <w:bCs/>
          <w:iCs/>
          <w:color w:val="auto"/>
          <w:lang w:val="en" w:eastAsia="en-GB"/>
        </w:rPr>
        <w:t>Real estate</w:t>
      </w:r>
      <w:r w:rsidRPr="002D2C95">
        <w:rPr>
          <w:rFonts w:eastAsia="Times New Roman" w:cs="Arial"/>
          <w:color w:val="auto"/>
          <w:lang w:val="en" w:eastAsia="en-GB"/>
        </w:rPr>
        <w:t xml:space="preserve"> is an important portion of the Fund's investment portfolio because of both the diversification benefits that real estate investments bring and the rental income generated that is used to fund member benefits without the need to liquidate other investments. </w:t>
      </w:r>
      <w:r w:rsidRPr="002D2C95">
        <w:rPr>
          <w:rFonts w:eastAsia="Times New Roman" w:cs="Arial"/>
          <w:color w:val="auto"/>
          <w:lang w:eastAsia="en-GB"/>
        </w:rPr>
        <w:t>The performance during the year was strong with real estate assets comfortably outperforming their respective benchmark. This outperformance is maintained in longer-term timeframes as well.</w:t>
      </w:r>
    </w:p>
    <w:p w:rsidR="002D2C95" w:rsidRPr="002D2C95" w:rsidRDefault="002D2C95" w:rsidP="002D2C95">
      <w:pPr>
        <w:widowControl w:val="0"/>
        <w:spacing w:after="0" w:line="276" w:lineRule="auto"/>
        <w:rPr>
          <w:rFonts w:eastAsia="Times New Roman" w:cs="Arial"/>
          <w:color w:val="auto"/>
          <w:lang w:eastAsia="en-GB"/>
        </w:rPr>
      </w:pPr>
    </w:p>
    <w:p w:rsidR="002D2C95" w:rsidRDefault="002D2C95" w:rsidP="002D2C95">
      <w:pPr>
        <w:widowControl w:val="0"/>
        <w:spacing w:after="0" w:line="276" w:lineRule="auto"/>
        <w:rPr>
          <w:rFonts w:ascii="Verdana" w:eastAsia="Times New Roman" w:hAnsi="Verdana" w:cs="Arial"/>
          <w:color w:val="auto"/>
          <w:sz w:val="20"/>
          <w:szCs w:val="20"/>
          <w:lang w:eastAsia="en-GB"/>
        </w:rPr>
      </w:pPr>
    </w:p>
    <w:p w:rsidR="002D2C95" w:rsidRDefault="002D2C95" w:rsidP="002D2C95">
      <w:pPr>
        <w:widowControl w:val="0"/>
        <w:spacing w:after="0" w:line="276" w:lineRule="auto"/>
        <w:rPr>
          <w:rFonts w:ascii="Verdana" w:eastAsia="Times New Roman" w:hAnsi="Verdana" w:cs="Arial"/>
          <w:color w:val="auto"/>
          <w:sz w:val="20"/>
          <w:szCs w:val="20"/>
          <w:lang w:val="en" w:eastAsia="en-GB"/>
        </w:rPr>
      </w:pPr>
    </w:p>
    <w:tbl>
      <w:tblPr>
        <w:tblW w:w="5000" w:type="pct"/>
        <w:tblCellMar>
          <w:left w:w="0" w:type="dxa"/>
          <w:right w:w="0" w:type="dxa"/>
        </w:tblCellMar>
        <w:tblLook w:val="04A0" w:firstRow="1" w:lastRow="0" w:firstColumn="1" w:lastColumn="0" w:noHBand="0" w:noVBand="1"/>
      </w:tblPr>
      <w:tblGrid>
        <w:gridCol w:w="1622"/>
        <w:gridCol w:w="3955"/>
        <w:gridCol w:w="2136"/>
        <w:gridCol w:w="1808"/>
        <w:gridCol w:w="919"/>
      </w:tblGrid>
      <w:tr w:rsidR="002D2C95" w:rsidRPr="0029002A" w:rsidTr="002D2C95">
        <w:trPr>
          <w:trHeight w:val="396"/>
        </w:trPr>
        <w:tc>
          <w:tcPr>
            <w:tcW w:w="777" w:type="pct"/>
            <w:tcBorders>
              <w:top w:val="single" w:sz="8" w:space="0" w:color="auto"/>
              <w:left w:val="single" w:sz="8" w:space="0" w:color="auto"/>
              <w:bottom w:val="single" w:sz="8" w:space="0" w:color="auto"/>
              <w:right w:val="single" w:sz="8" w:space="0" w:color="auto"/>
            </w:tcBorders>
            <w:shd w:val="clear" w:color="000000" w:fill="009999"/>
            <w:noWrap/>
            <w:vAlign w:val="center"/>
            <w:hideMark/>
          </w:tcPr>
          <w:p w:rsidR="002D2C95" w:rsidRPr="0029002A" w:rsidRDefault="002D2C95" w:rsidP="002D2C95">
            <w:pPr>
              <w:autoSpaceDE/>
              <w:autoSpaceDN/>
              <w:adjustRightInd/>
              <w:spacing w:after="0"/>
              <w:jc w:val="center"/>
              <w:rPr>
                <w:rFonts w:ascii="Calibri" w:eastAsia="Times New Roman" w:hAnsi="Calibri" w:cs="Times New Roman"/>
                <w:sz w:val="16"/>
                <w:szCs w:val="18"/>
              </w:rPr>
            </w:pPr>
          </w:p>
        </w:tc>
        <w:tc>
          <w:tcPr>
            <w:tcW w:w="1894" w:type="pct"/>
            <w:tcBorders>
              <w:top w:val="single" w:sz="8" w:space="0" w:color="auto"/>
              <w:left w:val="nil"/>
              <w:bottom w:val="single" w:sz="8" w:space="0" w:color="auto"/>
              <w:right w:val="single" w:sz="8" w:space="0" w:color="auto"/>
            </w:tcBorders>
            <w:shd w:val="clear" w:color="000000" w:fill="009999"/>
            <w:noWrap/>
            <w:vAlign w:val="center"/>
            <w:hideMark/>
          </w:tcPr>
          <w:p w:rsidR="002D2C95" w:rsidRPr="0029002A" w:rsidRDefault="002D2C95" w:rsidP="002D2C95">
            <w:pPr>
              <w:spacing w:after="0"/>
              <w:jc w:val="center"/>
              <w:rPr>
                <w:rFonts w:ascii="Verdana" w:hAnsi="Verdana"/>
                <w:b/>
                <w:bCs/>
                <w:color w:val="FFFFFF"/>
                <w:sz w:val="16"/>
                <w:szCs w:val="18"/>
              </w:rPr>
            </w:pPr>
            <w:r w:rsidRPr="0029002A">
              <w:rPr>
                <w:rFonts w:ascii="Verdana" w:hAnsi="Verdana"/>
                <w:b/>
                <w:bCs/>
                <w:color w:val="FFFFFF"/>
                <w:sz w:val="16"/>
                <w:szCs w:val="18"/>
              </w:rPr>
              <w:t>Investment Strategy</w:t>
            </w:r>
          </w:p>
        </w:tc>
        <w:tc>
          <w:tcPr>
            <w:tcW w:w="1023" w:type="pct"/>
            <w:tcBorders>
              <w:top w:val="single" w:sz="8" w:space="0" w:color="auto"/>
              <w:left w:val="nil"/>
              <w:bottom w:val="single" w:sz="8" w:space="0" w:color="auto"/>
              <w:right w:val="single" w:sz="8" w:space="0" w:color="auto"/>
            </w:tcBorders>
            <w:shd w:val="clear" w:color="000000" w:fill="009999"/>
            <w:noWrap/>
            <w:vAlign w:val="center"/>
            <w:hideMark/>
          </w:tcPr>
          <w:p w:rsidR="002D2C95" w:rsidRPr="0029002A" w:rsidRDefault="002D2C95" w:rsidP="002D2C95">
            <w:pPr>
              <w:spacing w:after="0"/>
              <w:jc w:val="center"/>
              <w:rPr>
                <w:rFonts w:ascii="Verdana" w:hAnsi="Verdana"/>
                <w:b/>
                <w:bCs/>
                <w:color w:val="FFFFFF"/>
                <w:sz w:val="16"/>
                <w:szCs w:val="18"/>
              </w:rPr>
            </w:pPr>
            <w:r w:rsidRPr="0029002A">
              <w:rPr>
                <w:rFonts w:ascii="Verdana" w:hAnsi="Verdana"/>
                <w:b/>
                <w:bCs/>
                <w:color w:val="FFFFFF"/>
                <w:sz w:val="16"/>
                <w:szCs w:val="18"/>
              </w:rPr>
              <w:t>Investment Type</w:t>
            </w:r>
          </w:p>
        </w:tc>
        <w:tc>
          <w:tcPr>
            <w:tcW w:w="866" w:type="pct"/>
            <w:tcBorders>
              <w:top w:val="single" w:sz="8" w:space="0" w:color="auto"/>
              <w:left w:val="nil"/>
              <w:bottom w:val="single" w:sz="8" w:space="0" w:color="auto"/>
              <w:right w:val="single" w:sz="8" w:space="0" w:color="auto"/>
            </w:tcBorders>
            <w:shd w:val="clear" w:color="000000" w:fill="009999"/>
            <w:noWrap/>
            <w:vAlign w:val="center"/>
            <w:hideMark/>
          </w:tcPr>
          <w:p w:rsidR="002D2C95" w:rsidRPr="0029002A" w:rsidRDefault="002D2C95" w:rsidP="002D2C95">
            <w:pPr>
              <w:spacing w:after="0"/>
              <w:jc w:val="center"/>
              <w:rPr>
                <w:rFonts w:ascii="Verdana" w:hAnsi="Verdana"/>
                <w:b/>
                <w:bCs/>
                <w:color w:val="FFFFFF"/>
                <w:sz w:val="16"/>
                <w:szCs w:val="18"/>
              </w:rPr>
            </w:pPr>
            <w:r w:rsidRPr="0029002A">
              <w:rPr>
                <w:rFonts w:ascii="Verdana" w:hAnsi="Verdana"/>
                <w:b/>
                <w:bCs/>
                <w:color w:val="FFFFFF"/>
                <w:sz w:val="16"/>
                <w:szCs w:val="18"/>
              </w:rPr>
              <w:t>Valuation £ mil</w:t>
            </w:r>
          </w:p>
        </w:tc>
        <w:tc>
          <w:tcPr>
            <w:tcW w:w="441" w:type="pct"/>
            <w:tcBorders>
              <w:top w:val="single" w:sz="8" w:space="0" w:color="auto"/>
              <w:left w:val="nil"/>
              <w:bottom w:val="single" w:sz="8" w:space="0" w:color="auto"/>
              <w:right w:val="single" w:sz="8" w:space="0" w:color="auto"/>
            </w:tcBorders>
            <w:shd w:val="clear" w:color="000000" w:fill="009999"/>
            <w:noWrap/>
            <w:vAlign w:val="center"/>
            <w:hideMark/>
          </w:tcPr>
          <w:p w:rsidR="002D2C95" w:rsidRPr="0029002A" w:rsidRDefault="002D2C95" w:rsidP="002D2C95">
            <w:pPr>
              <w:spacing w:after="0"/>
              <w:jc w:val="center"/>
              <w:rPr>
                <w:rFonts w:ascii="Verdana" w:hAnsi="Verdana"/>
                <w:b/>
                <w:bCs/>
                <w:color w:val="FFFFFF"/>
                <w:sz w:val="16"/>
                <w:szCs w:val="18"/>
              </w:rPr>
            </w:pPr>
            <w:r w:rsidRPr="0029002A">
              <w:rPr>
                <w:rFonts w:ascii="Verdana" w:hAnsi="Verdana"/>
                <w:b/>
                <w:bCs/>
                <w:color w:val="FFFFFF"/>
                <w:sz w:val="16"/>
                <w:szCs w:val="18"/>
              </w:rPr>
              <w:t>%</w:t>
            </w:r>
          </w:p>
        </w:tc>
      </w:tr>
      <w:tr w:rsidR="002D2C95" w:rsidRPr="0029002A" w:rsidTr="002D2C95">
        <w:trPr>
          <w:trHeight w:val="396"/>
        </w:trPr>
        <w:tc>
          <w:tcPr>
            <w:tcW w:w="777" w:type="pct"/>
            <w:tcBorders>
              <w:top w:val="nil"/>
              <w:left w:val="single" w:sz="8" w:space="0" w:color="auto"/>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Gatefold Hayes</w:t>
            </w:r>
          </w:p>
        </w:tc>
        <w:tc>
          <w:tcPr>
            <w:tcW w:w="1894" w:type="pct"/>
            <w:tcBorders>
              <w:top w:val="nil"/>
              <w:left w:val="nil"/>
              <w:bottom w:val="single" w:sz="8" w:space="0" w:color="auto"/>
              <w:right w:val="single" w:sz="8" w:space="0" w:color="auto"/>
            </w:tcBorders>
            <w:shd w:val="clear" w:color="auto" w:fill="auto"/>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 xml:space="preserve">Traditional </w:t>
            </w:r>
            <w:r>
              <w:rPr>
                <w:rFonts w:ascii="Verdana" w:hAnsi="Verdana"/>
                <w:sz w:val="16"/>
                <w:szCs w:val="18"/>
              </w:rPr>
              <w:t>p</w:t>
            </w:r>
            <w:r w:rsidRPr="0029002A">
              <w:rPr>
                <w:rFonts w:ascii="Verdana" w:hAnsi="Verdana"/>
                <w:sz w:val="16"/>
                <w:szCs w:val="18"/>
              </w:rPr>
              <w:t xml:space="preserve">roperty &amp; </w:t>
            </w:r>
            <w:r>
              <w:rPr>
                <w:rFonts w:ascii="Verdana" w:hAnsi="Verdana"/>
                <w:sz w:val="16"/>
                <w:szCs w:val="18"/>
              </w:rPr>
              <w:t>s</w:t>
            </w:r>
            <w:r w:rsidRPr="0029002A">
              <w:rPr>
                <w:rFonts w:ascii="Verdana" w:hAnsi="Verdana"/>
                <w:sz w:val="16"/>
                <w:szCs w:val="18"/>
              </w:rPr>
              <w:t xml:space="preserve">pecialist </w:t>
            </w:r>
            <w:r>
              <w:rPr>
                <w:rFonts w:ascii="Verdana" w:hAnsi="Verdana"/>
                <w:sz w:val="16"/>
                <w:szCs w:val="18"/>
              </w:rPr>
              <w:t>i</w:t>
            </w:r>
            <w:r w:rsidRPr="0029002A">
              <w:rPr>
                <w:rFonts w:ascii="Verdana" w:hAnsi="Verdana"/>
                <w:sz w:val="16"/>
                <w:szCs w:val="18"/>
              </w:rPr>
              <w:t>ncome</w:t>
            </w:r>
          </w:p>
        </w:tc>
        <w:tc>
          <w:tcPr>
            <w:tcW w:w="1023"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Fund</w:t>
            </w:r>
          </w:p>
        </w:tc>
        <w:tc>
          <w:tcPr>
            <w:tcW w:w="866"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39.0</w:t>
            </w:r>
          </w:p>
        </w:tc>
        <w:tc>
          <w:tcPr>
            <w:tcW w:w="441"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4.7%</w:t>
            </w:r>
          </w:p>
        </w:tc>
      </w:tr>
      <w:tr w:rsidR="002D2C95" w:rsidRPr="0029002A" w:rsidTr="002D2C95">
        <w:trPr>
          <w:trHeight w:val="396"/>
        </w:trPr>
        <w:tc>
          <w:tcPr>
            <w:tcW w:w="777" w:type="pct"/>
            <w:tcBorders>
              <w:top w:val="nil"/>
              <w:left w:val="single" w:sz="8" w:space="0" w:color="auto"/>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Kames</w:t>
            </w:r>
          </w:p>
        </w:tc>
        <w:tc>
          <w:tcPr>
            <w:tcW w:w="1894" w:type="pct"/>
            <w:tcBorders>
              <w:top w:val="nil"/>
              <w:left w:val="nil"/>
              <w:bottom w:val="single" w:sz="8" w:space="0" w:color="auto"/>
              <w:right w:val="single" w:sz="8" w:space="0" w:color="auto"/>
            </w:tcBorders>
            <w:shd w:val="clear" w:color="auto" w:fill="auto"/>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 xml:space="preserve">Traditional </w:t>
            </w:r>
            <w:r>
              <w:rPr>
                <w:rFonts w:ascii="Verdana" w:hAnsi="Verdana"/>
                <w:sz w:val="16"/>
                <w:szCs w:val="18"/>
              </w:rPr>
              <w:t>p</w:t>
            </w:r>
            <w:r w:rsidRPr="0029002A">
              <w:rPr>
                <w:rFonts w:ascii="Verdana" w:hAnsi="Verdana"/>
                <w:sz w:val="16"/>
                <w:szCs w:val="18"/>
              </w:rPr>
              <w:t xml:space="preserve">roperty &amp; </w:t>
            </w:r>
            <w:r>
              <w:rPr>
                <w:rFonts w:ascii="Verdana" w:hAnsi="Verdana"/>
                <w:sz w:val="16"/>
                <w:szCs w:val="18"/>
              </w:rPr>
              <w:t>s</w:t>
            </w:r>
            <w:r w:rsidRPr="0029002A">
              <w:rPr>
                <w:rFonts w:ascii="Verdana" w:hAnsi="Verdana"/>
                <w:sz w:val="16"/>
                <w:szCs w:val="18"/>
              </w:rPr>
              <w:t xml:space="preserve">pecialist </w:t>
            </w:r>
            <w:r>
              <w:rPr>
                <w:rFonts w:ascii="Verdana" w:hAnsi="Verdana"/>
                <w:sz w:val="16"/>
                <w:szCs w:val="18"/>
              </w:rPr>
              <w:t>i</w:t>
            </w:r>
            <w:r w:rsidRPr="0029002A">
              <w:rPr>
                <w:rFonts w:ascii="Verdana" w:hAnsi="Verdana"/>
                <w:sz w:val="16"/>
                <w:szCs w:val="18"/>
              </w:rPr>
              <w:t>ncome</w:t>
            </w:r>
          </w:p>
        </w:tc>
        <w:tc>
          <w:tcPr>
            <w:tcW w:w="1023"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Fund</w:t>
            </w:r>
          </w:p>
        </w:tc>
        <w:tc>
          <w:tcPr>
            <w:tcW w:w="866"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28.3</w:t>
            </w:r>
          </w:p>
        </w:tc>
        <w:tc>
          <w:tcPr>
            <w:tcW w:w="441"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3.4%</w:t>
            </w:r>
          </w:p>
        </w:tc>
      </w:tr>
      <w:tr w:rsidR="002D2C95" w:rsidRPr="0029002A" w:rsidTr="002D2C95">
        <w:trPr>
          <w:trHeight w:val="396"/>
        </w:trPr>
        <w:tc>
          <w:tcPr>
            <w:tcW w:w="777" w:type="pct"/>
            <w:tcBorders>
              <w:top w:val="nil"/>
              <w:left w:val="single" w:sz="8" w:space="0" w:color="auto"/>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Knight Frank</w:t>
            </w:r>
          </w:p>
        </w:tc>
        <w:tc>
          <w:tcPr>
            <w:tcW w:w="1894" w:type="pct"/>
            <w:tcBorders>
              <w:top w:val="nil"/>
              <w:left w:val="nil"/>
              <w:bottom w:val="single" w:sz="8" w:space="0" w:color="auto"/>
              <w:right w:val="single" w:sz="8" w:space="0" w:color="auto"/>
            </w:tcBorders>
            <w:shd w:val="clear" w:color="auto" w:fill="auto"/>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 xml:space="preserve">Traditional </w:t>
            </w:r>
            <w:r>
              <w:rPr>
                <w:rFonts w:ascii="Verdana" w:hAnsi="Verdana"/>
                <w:sz w:val="16"/>
                <w:szCs w:val="18"/>
              </w:rPr>
              <w:t>p</w:t>
            </w:r>
            <w:r w:rsidRPr="0029002A">
              <w:rPr>
                <w:rFonts w:ascii="Verdana" w:hAnsi="Verdana"/>
                <w:sz w:val="16"/>
                <w:szCs w:val="18"/>
              </w:rPr>
              <w:t xml:space="preserve">roperty &amp; </w:t>
            </w:r>
            <w:r>
              <w:rPr>
                <w:rFonts w:ascii="Verdana" w:hAnsi="Verdana"/>
                <w:sz w:val="16"/>
                <w:szCs w:val="18"/>
              </w:rPr>
              <w:t>s</w:t>
            </w:r>
            <w:r w:rsidRPr="0029002A">
              <w:rPr>
                <w:rFonts w:ascii="Verdana" w:hAnsi="Verdana"/>
                <w:sz w:val="16"/>
                <w:szCs w:val="18"/>
              </w:rPr>
              <w:t xml:space="preserve">pecialist </w:t>
            </w:r>
            <w:r>
              <w:rPr>
                <w:rFonts w:ascii="Verdana" w:hAnsi="Verdana"/>
                <w:sz w:val="16"/>
                <w:szCs w:val="18"/>
              </w:rPr>
              <w:t>i</w:t>
            </w:r>
            <w:r w:rsidRPr="0029002A">
              <w:rPr>
                <w:rFonts w:ascii="Verdana" w:hAnsi="Verdana"/>
                <w:sz w:val="16"/>
                <w:szCs w:val="18"/>
              </w:rPr>
              <w:t>ncome</w:t>
            </w:r>
          </w:p>
        </w:tc>
        <w:tc>
          <w:tcPr>
            <w:tcW w:w="1023"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Direct</w:t>
            </w:r>
          </w:p>
        </w:tc>
        <w:tc>
          <w:tcPr>
            <w:tcW w:w="866"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554.6</w:t>
            </w:r>
          </w:p>
        </w:tc>
        <w:tc>
          <w:tcPr>
            <w:tcW w:w="441"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67.1%</w:t>
            </w:r>
          </w:p>
        </w:tc>
      </w:tr>
      <w:tr w:rsidR="002D2C95" w:rsidRPr="0029002A" w:rsidTr="002D2C95">
        <w:trPr>
          <w:trHeight w:val="396"/>
        </w:trPr>
        <w:tc>
          <w:tcPr>
            <w:tcW w:w="777" w:type="pct"/>
            <w:tcBorders>
              <w:top w:val="nil"/>
              <w:left w:val="single" w:sz="8" w:space="0" w:color="auto"/>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Knight Frank</w:t>
            </w:r>
          </w:p>
        </w:tc>
        <w:tc>
          <w:tcPr>
            <w:tcW w:w="1894" w:type="pct"/>
            <w:tcBorders>
              <w:top w:val="nil"/>
              <w:left w:val="nil"/>
              <w:bottom w:val="single" w:sz="8" w:space="0" w:color="auto"/>
              <w:right w:val="single" w:sz="8" w:space="0" w:color="auto"/>
            </w:tcBorders>
            <w:shd w:val="clear" w:color="auto" w:fill="auto"/>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Value-added / Opportunistic</w:t>
            </w:r>
          </w:p>
        </w:tc>
        <w:tc>
          <w:tcPr>
            <w:tcW w:w="1023"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Direct</w:t>
            </w:r>
          </w:p>
        </w:tc>
        <w:tc>
          <w:tcPr>
            <w:tcW w:w="866"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158.3</w:t>
            </w:r>
          </w:p>
        </w:tc>
        <w:tc>
          <w:tcPr>
            <w:tcW w:w="441"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19.2%</w:t>
            </w:r>
          </w:p>
        </w:tc>
      </w:tr>
      <w:tr w:rsidR="002D2C95" w:rsidRPr="0029002A" w:rsidTr="002D2C95">
        <w:trPr>
          <w:trHeight w:val="396"/>
        </w:trPr>
        <w:tc>
          <w:tcPr>
            <w:tcW w:w="777" w:type="pct"/>
            <w:tcBorders>
              <w:top w:val="nil"/>
              <w:left w:val="single" w:sz="8" w:space="0" w:color="auto"/>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 xml:space="preserve">M&amp;G </w:t>
            </w:r>
          </w:p>
        </w:tc>
        <w:tc>
          <w:tcPr>
            <w:tcW w:w="1894" w:type="pct"/>
            <w:tcBorders>
              <w:top w:val="nil"/>
              <w:left w:val="nil"/>
              <w:bottom w:val="single" w:sz="8" w:space="0" w:color="auto"/>
              <w:right w:val="single" w:sz="8" w:space="0" w:color="auto"/>
            </w:tcBorders>
            <w:shd w:val="clear" w:color="auto" w:fill="auto"/>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Value-added / Opportunistic</w:t>
            </w:r>
          </w:p>
        </w:tc>
        <w:tc>
          <w:tcPr>
            <w:tcW w:w="1023"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Fund</w:t>
            </w:r>
          </w:p>
        </w:tc>
        <w:tc>
          <w:tcPr>
            <w:tcW w:w="866"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46.00</w:t>
            </w:r>
          </w:p>
        </w:tc>
        <w:tc>
          <w:tcPr>
            <w:tcW w:w="441" w:type="pct"/>
            <w:tcBorders>
              <w:top w:val="nil"/>
              <w:left w:val="nil"/>
              <w:bottom w:val="single" w:sz="8" w:space="0" w:color="auto"/>
              <w:right w:val="single" w:sz="8" w:space="0" w:color="auto"/>
            </w:tcBorders>
            <w:shd w:val="clear" w:color="auto" w:fill="auto"/>
            <w:noWrap/>
            <w:vAlign w:val="center"/>
            <w:hideMark/>
          </w:tcPr>
          <w:p w:rsidR="002D2C95" w:rsidRPr="0029002A" w:rsidRDefault="002D2C95" w:rsidP="002D2C95">
            <w:pPr>
              <w:spacing w:after="0"/>
              <w:jc w:val="center"/>
              <w:rPr>
                <w:rFonts w:ascii="Verdana" w:hAnsi="Verdana"/>
                <w:sz w:val="16"/>
                <w:szCs w:val="18"/>
              </w:rPr>
            </w:pPr>
            <w:r w:rsidRPr="0029002A">
              <w:rPr>
                <w:rFonts w:ascii="Verdana" w:hAnsi="Verdana"/>
                <w:sz w:val="16"/>
                <w:szCs w:val="18"/>
              </w:rPr>
              <w:t>5.6%</w:t>
            </w:r>
          </w:p>
        </w:tc>
      </w:tr>
      <w:tr w:rsidR="002D2C95" w:rsidRPr="0029002A" w:rsidTr="002D2C95">
        <w:trPr>
          <w:trHeight w:val="347"/>
        </w:trPr>
        <w:tc>
          <w:tcPr>
            <w:tcW w:w="777" w:type="pct"/>
            <w:tcBorders>
              <w:top w:val="nil"/>
              <w:left w:val="single" w:sz="8" w:space="0" w:color="auto"/>
              <w:bottom w:val="single" w:sz="8" w:space="0" w:color="auto"/>
              <w:right w:val="single" w:sz="8" w:space="0" w:color="auto"/>
            </w:tcBorders>
            <w:shd w:val="clear" w:color="000000" w:fill="009999"/>
            <w:noWrap/>
            <w:vAlign w:val="center"/>
            <w:hideMark/>
          </w:tcPr>
          <w:p w:rsidR="002D2C95" w:rsidRPr="0029002A" w:rsidRDefault="002D2C95" w:rsidP="002D2C95">
            <w:pPr>
              <w:spacing w:after="0"/>
              <w:jc w:val="center"/>
              <w:rPr>
                <w:rFonts w:ascii="Verdana" w:hAnsi="Verdana"/>
                <w:b/>
                <w:bCs/>
                <w:color w:val="FFFFFF"/>
                <w:sz w:val="16"/>
                <w:szCs w:val="18"/>
              </w:rPr>
            </w:pPr>
            <w:r w:rsidRPr="0029002A">
              <w:rPr>
                <w:rFonts w:ascii="Verdana" w:hAnsi="Verdana"/>
                <w:b/>
                <w:bCs/>
                <w:color w:val="FFFFFF"/>
                <w:sz w:val="16"/>
                <w:szCs w:val="18"/>
              </w:rPr>
              <w:t>Total</w:t>
            </w:r>
          </w:p>
        </w:tc>
        <w:tc>
          <w:tcPr>
            <w:tcW w:w="1894" w:type="pct"/>
            <w:tcBorders>
              <w:top w:val="nil"/>
              <w:left w:val="nil"/>
              <w:bottom w:val="single" w:sz="8" w:space="0" w:color="auto"/>
              <w:right w:val="single" w:sz="8" w:space="0" w:color="auto"/>
            </w:tcBorders>
            <w:shd w:val="clear" w:color="000000" w:fill="009999"/>
            <w:noWrap/>
            <w:vAlign w:val="center"/>
            <w:hideMark/>
          </w:tcPr>
          <w:p w:rsidR="002D2C95" w:rsidRPr="0029002A" w:rsidRDefault="002D2C95" w:rsidP="002D2C95">
            <w:pPr>
              <w:spacing w:after="0"/>
              <w:jc w:val="left"/>
              <w:rPr>
                <w:rFonts w:ascii="Calibri" w:hAnsi="Calibri"/>
                <w:sz w:val="16"/>
                <w:szCs w:val="18"/>
              </w:rPr>
            </w:pPr>
            <w:r w:rsidRPr="0029002A">
              <w:rPr>
                <w:rFonts w:ascii="Calibri" w:hAnsi="Calibri"/>
                <w:sz w:val="16"/>
                <w:szCs w:val="18"/>
              </w:rPr>
              <w:t> </w:t>
            </w:r>
          </w:p>
        </w:tc>
        <w:tc>
          <w:tcPr>
            <w:tcW w:w="1023" w:type="pct"/>
            <w:tcBorders>
              <w:top w:val="nil"/>
              <w:left w:val="nil"/>
              <w:bottom w:val="single" w:sz="8" w:space="0" w:color="auto"/>
              <w:right w:val="single" w:sz="8" w:space="0" w:color="auto"/>
            </w:tcBorders>
            <w:shd w:val="clear" w:color="000000" w:fill="009999"/>
            <w:noWrap/>
            <w:vAlign w:val="center"/>
            <w:hideMark/>
          </w:tcPr>
          <w:p w:rsidR="002D2C95" w:rsidRPr="0029002A" w:rsidRDefault="002D2C95" w:rsidP="002D2C95">
            <w:pPr>
              <w:spacing w:after="0"/>
              <w:rPr>
                <w:rFonts w:ascii="Calibri" w:hAnsi="Calibri"/>
                <w:sz w:val="16"/>
                <w:szCs w:val="18"/>
              </w:rPr>
            </w:pPr>
            <w:r w:rsidRPr="0029002A">
              <w:rPr>
                <w:rFonts w:ascii="Calibri" w:hAnsi="Calibri"/>
                <w:sz w:val="16"/>
                <w:szCs w:val="18"/>
              </w:rPr>
              <w:t> </w:t>
            </w:r>
          </w:p>
        </w:tc>
        <w:tc>
          <w:tcPr>
            <w:tcW w:w="866" w:type="pct"/>
            <w:tcBorders>
              <w:top w:val="nil"/>
              <w:left w:val="nil"/>
              <w:bottom w:val="single" w:sz="8" w:space="0" w:color="auto"/>
              <w:right w:val="single" w:sz="8" w:space="0" w:color="auto"/>
            </w:tcBorders>
            <w:shd w:val="clear" w:color="000000" w:fill="009999"/>
            <w:noWrap/>
            <w:vAlign w:val="center"/>
            <w:hideMark/>
          </w:tcPr>
          <w:p w:rsidR="002D2C95" w:rsidRPr="0029002A" w:rsidRDefault="002D2C95" w:rsidP="002D2C95">
            <w:pPr>
              <w:spacing w:after="0"/>
              <w:jc w:val="center"/>
              <w:rPr>
                <w:rFonts w:ascii="Verdana" w:hAnsi="Verdana"/>
                <w:b/>
                <w:bCs/>
                <w:color w:val="FFFFFF"/>
                <w:sz w:val="16"/>
                <w:szCs w:val="18"/>
              </w:rPr>
            </w:pPr>
            <w:r w:rsidRPr="0029002A">
              <w:rPr>
                <w:rFonts w:ascii="Verdana" w:hAnsi="Verdana"/>
                <w:b/>
                <w:bCs/>
                <w:color w:val="FFFFFF"/>
                <w:sz w:val="16"/>
                <w:szCs w:val="18"/>
              </w:rPr>
              <w:t>826.2</w:t>
            </w:r>
          </w:p>
        </w:tc>
        <w:tc>
          <w:tcPr>
            <w:tcW w:w="441" w:type="pct"/>
            <w:tcBorders>
              <w:top w:val="nil"/>
              <w:left w:val="nil"/>
              <w:bottom w:val="single" w:sz="8" w:space="0" w:color="auto"/>
              <w:right w:val="single" w:sz="8" w:space="0" w:color="auto"/>
            </w:tcBorders>
            <w:shd w:val="clear" w:color="000000" w:fill="009999"/>
            <w:noWrap/>
            <w:vAlign w:val="center"/>
            <w:hideMark/>
          </w:tcPr>
          <w:p w:rsidR="002D2C95" w:rsidRPr="0029002A" w:rsidRDefault="002D2C95" w:rsidP="002D2C95">
            <w:pPr>
              <w:spacing w:after="0"/>
              <w:jc w:val="center"/>
              <w:rPr>
                <w:rFonts w:ascii="Verdana" w:hAnsi="Verdana"/>
                <w:b/>
                <w:bCs/>
                <w:color w:val="FFFFFF"/>
                <w:sz w:val="16"/>
                <w:szCs w:val="18"/>
              </w:rPr>
            </w:pPr>
            <w:r w:rsidRPr="0029002A">
              <w:rPr>
                <w:rFonts w:ascii="Verdana" w:hAnsi="Verdana"/>
                <w:b/>
                <w:bCs/>
                <w:color w:val="FFFFFF"/>
                <w:sz w:val="16"/>
                <w:szCs w:val="18"/>
              </w:rPr>
              <w:t>100%</w:t>
            </w:r>
          </w:p>
        </w:tc>
      </w:tr>
    </w:tbl>
    <w:p w:rsidR="002D2C95" w:rsidRPr="00671B83" w:rsidRDefault="002D2C95" w:rsidP="002D2C95">
      <w:pPr>
        <w:widowControl w:val="0"/>
        <w:spacing w:after="0" w:line="276" w:lineRule="auto"/>
        <w:rPr>
          <w:rFonts w:ascii="Verdana" w:eastAsia="Times New Roman" w:hAnsi="Verdana" w:cs="Arial"/>
          <w:color w:val="auto"/>
          <w:sz w:val="20"/>
          <w:szCs w:val="20"/>
          <w:lang w:val="en" w:eastAsia="en-GB"/>
        </w:rPr>
      </w:pPr>
    </w:p>
    <w:p w:rsidR="002D2C95" w:rsidRPr="002D2C95" w:rsidRDefault="002D2C95" w:rsidP="002D2C95">
      <w:pPr>
        <w:spacing w:after="0" w:line="276" w:lineRule="auto"/>
        <w:rPr>
          <w:rFonts w:eastAsia="Times New Roman" w:cs="Arial"/>
          <w:b/>
          <w:color w:val="auto"/>
          <w:lang w:eastAsia="en-GB"/>
        </w:rPr>
      </w:pPr>
      <w:r w:rsidRPr="002D2C95">
        <w:rPr>
          <w:rFonts w:eastAsia="Times New Roman" w:cs="Arial"/>
          <w:b/>
          <w:color w:val="auto"/>
          <w:lang w:eastAsia="en-GB"/>
        </w:rPr>
        <w:t>Infrastructure</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 w:eastAsia="en-GB"/>
        </w:rPr>
        <w:t>The Fund has allocations to a number of different global infrastructure funds, and also invests directly in global renewable energy infrastructure projects.  In December 2016, LCPF joined GLIL, a partnership between five local authority pension funds, which has a remit to invest in predominantly core UK infrastructure. The approach of bidding and investing alongside key strategic counterparties has continued and LCPF now owns interests in international gas and electricity distribution networks together with significant domestic and international investments in wind-powered electricity generation.</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bCs/>
          <w:iCs/>
          <w:color w:val="auto"/>
          <w:lang w:val="en" w:eastAsia="en-GB"/>
        </w:rPr>
        <w:t>Infrastructure</w:t>
      </w:r>
      <w:r w:rsidRPr="002D2C95">
        <w:rPr>
          <w:rFonts w:eastAsia="Times New Roman" w:cs="Arial"/>
          <w:color w:val="auto"/>
          <w:lang w:val="en" w:eastAsia="en-GB"/>
        </w:rPr>
        <w:t xml:space="preserve"> investments offer long-term returns that are expected to closely match the Fund's investment needs, and provide an important source of diversification. As well as investing in traditional infrastructure funds, the Fund has made an increasing number of direct investments in global infrastructure (with significant allocations in the renewable energy sector) through the LPPI Infrastructure Pool and in the UK though the GLIL partnership. The ability to invest directly minimises fee costs and has enabled the Fund to negotiate favourable investment terms which have delivered excellent performance since inception.</w:t>
      </w:r>
    </w:p>
    <w:p w:rsidR="002D2C95" w:rsidRPr="002D2C95" w:rsidRDefault="002D2C95" w:rsidP="002D2C95">
      <w:pPr>
        <w:widowControl w:val="0"/>
        <w:spacing w:after="0" w:line="276" w:lineRule="auto"/>
        <w:rPr>
          <w:rFonts w:eastAsia="Times New Roman" w:cs="Arial"/>
          <w:color w:val="auto"/>
          <w:lang w:val="en"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cs="Arial"/>
          <w:noProof/>
          <w:lang w:eastAsia="en-GB"/>
        </w:rPr>
        <w:drawing>
          <wp:anchor distT="0" distB="0" distL="114300" distR="114300" simplePos="0" relativeHeight="251677696" behindDoc="1" locked="0" layoutInCell="1" allowOverlap="1" wp14:anchorId="33EA6D0D" wp14:editId="43665C7F">
            <wp:simplePos x="0" y="0"/>
            <wp:positionH relativeFrom="margin">
              <wp:align>left</wp:align>
            </wp:positionH>
            <wp:positionV relativeFrom="margin">
              <wp:align>bottom</wp:align>
            </wp:positionV>
            <wp:extent cx="3732530" cy="2455545"/>
            <wp:effectExtent l="0" t="0" r="1270" b="1905"/>
            <wp:wrapTight wrapText="bothSides">
              <wp:wrapPolygon edited="0">
                <wp:start x="0" y="0"/>
                <wp:lineTo x="0" y="21449"/>
                <wp:lineTo x="21497" y="21449"/>
                <wp:lineTo x="2149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2530" cy="2455545"/>
                    </a:xfrm>
                    <a:prstGeom prst="rect">
                      <a:avLst/>
                    </a:prstGeom>
                    <a:noFill/>
                  </pic:spPr>
                </pic:pic>
              </a:graphicData>
            </a:graphic>
            <wp14:sizeRelH relativeFrom="page">
              <wp14:pctWidth>0</wp14:pctWidth>
            </wp14:sizeRelH>
            <wp14:sizeRelV relativeFrom="page">
              <wp14:pctHeight>0</wp14:pctHeight>
            </wp14:sizeRelV>
          </wp:anchor>
        </w:drawing>
      </w:r>
      <w:r w:rsidRPr="002D2C95">
        <w:rPr>
          <w:rFonts w:eastAsia="Times New Roman" w:cs="Arial"/>
          <w:color w:val="auto"/>
          <w:lang w:eastAsia="en-GB"/>
        </w:rPr>
        <w:t xml:space="preserve">Like property, significant initial investment costs associated with the growth in the portfolio could be expected to act as a short-term dampener of performance whilst a further increase in strategic allocation will lead to additional commitments and capital deployed. The asset class return for the year trailed its respective benchmark, however longer-term returns have outperformed benchmark returns. </w:t>
      </w:r>
    </w:p>
    <w:p w:rsidR="002D2C95" w:rsidRDefault="002D2C95" w:rsidP="002D2C95">
      <w:pPr>
        <w:widowControl w:val="0"/>
        <w:spacing w:after="0" w:line="276" w:lineRule="auto"/>
        <w:rPr>
          <w:noProof/>
        </w:rPr>
      </w:pPr>
      <w:r>
        <w:rPr>
          <w:rFonts w:ascii="Verdana" w:eastAsia="Times New Roman" w:hAnsi="Verdana" w:cs="Arial"/>
          <w:noProof/>
          <w:color w:val="auto"/>
          <w:sz w:val="20"/>
          <w:szCs w:val="20"/>
          <w:lang w:eastAsia="en-GB"/>
        </w:rPr>
        <w:lastRenderedPageBreak/>
        <w:drawing>
          <wp:anchor distT="0" distB="0" distL="114300" distR="114300" simplePos="0" relativeHeight="251679744" behindDoc="1" locked="0" layoutInCell="1" allowOverlap="1" wp14:anchorId="48F746A2" wp14:editId="515D8E2A">
            <wp:simplePos x="0" y="0"/>
            <wp:positionH relativeFrom="margin">
              <wp:align>left</wp:align>
            </wp:positionH>
            <wp:positionV relativeFrom="margin">
              <wp:posOffset>9525</wp:posOffset>
            </wp:positionV>
            <wp:extent cx="3785235" cy="2447925"/>
            <wp:effectExtent l="0" t="0" r="5715" b="9525"/>
            <wp:wrapTight wrapText="bothSides">
              <wp:wrapPolygon edited="0">
                <wp:start x="0" y="0"/>
                <wp:lineTo x="0" y="21516"/>
                <wp:lineTo x="21524" y="21516"/>
                <wp:lineTo x="2152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5235" cy="2447925"/>
                    </a:xfrm>
                    <a:prstGeom prst="rect">
                      <a:avLst/>
                    </a:prstGeom>
                    <a:noFill/>
                  </pic:spPr>
                </pic:pic>
              </a:graphicData>
            </a:graphic>
            <wp14:sizeRelH relativeFrom="page">
              <wp14:pctWidth>0</wp14:pctWidth>
            </wp14:sizeRelH>
            <wp14:sizeRelV relativeFrom="page">
              <wp14:pctHeight>0</wp14:pctHeight>
            </wp14:sizeRelV>
          </wp:anchor>
        </w:drawing>
      </w: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Default="002D2C95" w:rsidP="002D2C95">
      <w:pPr>
        <w:widowControl w:val="0"/>
        <w:spacing w:after="0" w:line="276" w:lineRule="auto"/>
        <w:rPr>
          <w:noProof/>
        </w:rPr>
      </w:pPr>
    </w:p>
    <w:p w:rsidR="002D2C95" w:rsidRPr="002D2C95" w:rsidRDefault="002D2C95" w:rsidP="002D2C95">
      <w:pPr>
        <w:spacing w:after="0" w:line="276" w:lineRule="auto"/>
        <w:rPr>
          <w:rFonts w:eastAsia="Times New Roman" w:cs="Arial"/>
          <w:b/>
          <w:color w:val="auto"/>
          <w:lang w:eastAsia="en-GB"/>
        </w:rPr>
      </w:pPr>
      <w:r w:rsidRPr="002D2C95">
        <w:rPr>
          <w:rFonts w:eastAsia="Times New Roman" w:cs="Arial"/>
          <w:b/>
          <w:color w:val="auto"/>
          <w:lang w:eastAsia="en-GB"/>
        </w:rPr>
        <w:t>Credit</w:t>
      </w:r>
    </w:p>
    <w:p w:rsidR="002D2C95" w:rsidRPr="002D2C95" w:rsidRDefault="002D2C95" w:rsidP="002D2C95">
      <w:pPr>
        <w:spacing w:after="0" w:line="276" w:lineRule="auto"/>
        <w:rPr>
          <w:rFonts w:eastAsia="Times New Roman" w:cs="Arial"/>
          <w:b/>
          <w:color w:val="auto"/>
          <w:lang w:eastAsia="en-GB"/>
        </w:rPr>
      </w:pPr>
    </w:p>
    <w:p w:rsidR="002D2C95" w:rsidRPr="002D2C95" w:rsidRDefault="002D2C95" w:rsidP="002D2C95">
      <w:pPr>
        <w:widowControl w:val="0"/>
        <w:spacing w:after="0" w:line="276" w:lineRule="auto"/>
        <w:rPr>
          <w:rFonts w:eastAsia="Times New Roman" w:cs="Arial"/>
          <w:color w:val="auto"/>
          <w:lang w:val="en" w:eastAsia="en-GB"/>
        </w:rPr>
      </w:pPr>
      <w:r w:rsidRPr="002D2C95">
        <w:rPr>
          <w:rFonts w:eastAsia="Times New Roman" w:cs="Arial"/>
          <w:color w:val="auto"/>
          <w:lang w:val="en" w:eastAsia="en-GB"/>
        </w:rPr>
        <w:t>During the year, LPP I set up an asset pool (limited partnership) to manage the LCPF’s and LPFA’s credit assets. At the moment, the majority of LCPF credit asset are managed within the LPP I Credit Pool with a significant portion of legacy assets remaining on the Fund’s balance sheet. The Pool comprises four broad categories of investments (target strategy weight in parentheses):</w:t>
      </w:r>
      <w:r w:rsidRPr="002D2C95">
        <w:rPr>
          <w:rFonts w:eastAsia="Times New Roman" w:cs="Arial"/>
          <w:color w:val="auto"/>
          <w:lang w:eastAsia="en-GB"/>
        </w:rPr>
        <w:t xml:space="preserve"> </w:t>
      </w:r>
      <w:r w:rsidRPr="002D2C95">
        <w:rPr>
          <w:rFonts w:eastAsia="Times New Roman" w:cs="Arial"/>
          <w:color w:val="auto"/>
          <w:lang w:val="en" w:eastAsia="en-GB"/>
        </w:rPr>
        <w:t xml:space="preserve">emerging markets sovereign debt (15%), direct lending (20%), cyclical credit opportunities (25%), and debt secured on real assets (25%). A fifth element of the credit pool is a diversified credit fund (15%) which will effectively be used to manage liquidity, capital drawdowns and distributions within the pool. </w:t>
      </w:r>
    </w:p>
    <w:p w:rsidR="002D2C95" w:rsidRPr="002D2C95" w:rsidRDefault="002D2C95" w:rsidP="002D2C95">
      <w:pPr>
        <w:widowControl w:val="0"/>
        <w:spacing w:after="0" w:line="276" w:lineRule="auto"/>
        <w:rPr>
          <w:rFonts w:eastAsia="Times New Roman" w:cs="Arial"/>
          <w:color w:val="auto"/>
          <w:lang w:val="en" w:eastAsia="en-GB"/>
        </w:rPr>
      </w:pPr>
    </w:p>
    <w:p w:rsidR="002D2C95" w:rsidRPr="00671B83" w:rsidRDefault="002D2C95" w:rsidP="002D2C95">
      <w:pPr>
        <w:spacing w:after="0" w:line="276" w:lineRule="auto"/>
        <w:rPr>
          <w:rFonts w:ascii="Verdana" w:eastAsia="Times New Roman" w:hAnsi="Verdana" w:cs="Arial"/>
          <w:color w:val="auto"/>
          <w:sz w:val="20"/>
          <w:szCs w:val="20"/>
          <w:lang w:eastAsia="en-GB"/>
        </w:rPr>
      </w:pPr>
      <w:r w:rsidRPr="002D2C95">
        <w:rPr>
          <w:rFonts w:eastAsia="Times New Roman" w:cs="Arial"/>
          <w:color w:val="auto"/>
          <w:lang w:eastAsia="en-GB"/>
        </w:rPr>
        <w:t xml:space="preserve">Asset class return (including both pooled and legacy assets) has marginally underperformed its benchmark over the year, whilst longer-term returns have outperformed. The pool’s exposure is predominantly in developed markets (c. 60% in North America and 35% in Europe including the UK). </w:t>
      </w:r>
    </w:p>
    <w:p w:rsidR="00033F98" w:rsidRPr="00033F98" w:rsidRDefault="00033F98" w:rsidP="00033F98">
      <w:pPr>
        <w:keepNext/>
        <w:keepLines/>
        <w:widowControl w:val="0"/>
        <w:spacing w:before="240" w:after="0" w:line="276" w:lineRule="auto"/>
        <w:rPr>
          <w:rFonts w:eastAsia="Times New Roman" w:cs="Arial"/>
          <w:b/>
          <w:color w:val="auto"/>
          <w:lang w:eastAsia="en-GB"/>
        </w:rPr>
      </w:pPr>
      <w:r w:rsidRPr="00033F98">
        <w:rPr>
          <w:rFonts w:eastAsia="Times New Roman" w:cs="Arial"/>
          <w:b/>
          <w:color w:val="auto"/>
          <w:lang w:eastAsia="en-GB"/>
        </w:rPr>
        <w:t>Governance</w:t>
      </w:r>
    </w:p>
    <w:p w:rsidR="00033F98" w:rsidRPr="00033F98" w:rsidRDefault="00033F98" w:rsidP="00033F98">
      <w:pPr>
        <w:keepNext/>
        <w:keepLines/>
        <w:widowControl w:val="0"/>
        <w:spacing w:after="0" w:line="276" w:lineRule="auto"/>
        <w:rPr>
          <w:rFonts w:eastAsia="Times New Roman" w:cs="Arial"/>
          <w:b/>
          <w:bCs/>
          <w:color w:val="auto"/>
          <w:highlight w:val="yellow"/>
          <w:lang w:val="en" w:eastAsia="en-GB"/>
        </w:rPr>
      </w:pPr>
    </w:p>
    <w:p w:rsidR="00033F98" w:rsidRPr="00033F98" w:rsidRDefault="00033F98" w:rsidP="00033F98">
      <w:pPr>
        <w:widowControl w:val="0"/>
        <w:spacing w:after="0" w:line="276" w:lineRule="auto"/>
        <w:rPr>
          <w:rFonts w:eastAsia="Times New Roman" w:cs="Arial"/>
          <w:color w:val="auto"/>
          <w:lang w:val="en" w:eastAsia="en-GB"/>
        </w:rPr>
      </w:pPr>
      <w:r w:rsidRPr="00033F98">
        <w:rPr>
          <w:rFonts w:eastAsia="Times New Roman" w:cs="Arial"/>
          <w:color w:val="auto"/>
          <w:lang w:val="en" w:eastAsia="en-GB"/>
        </w:rPr>
        <w:t>There are four levels of responsibility for the investment management of the Lancashire County Pension Fund:</w:t>
      </w:r>
    </w:p>
    <w:p w:rsidR="00033F98" w:rsidRPr="00033F98" w:rsidRDefault="00033F98" w:rsidP="00033F98">
      <w:pPr>
        <w:widowControl w:val="0"/>
        <w:spacing w:after="0" w:line="276" w:lineRule="auto"/>
        <w:rPr>
          <w:rFonts w:eastAsia="Times New Roman" w:cs="Arial"/>
          <w:color w:val="auto"/>
          <w:lang w:val="en" w:eastAsia="en-GB"/>
        </w:rPr>
      </w:pPr>
    </w:p>
    <w:p w:rsidR="00033F98" w:rsidRPr="00033F98" w:rsidRDefault="00033F98" w:rsidP="00033F98">
      <w:pPr>
        <w:widowControl w:val="0"/>
        <w:numPr>
          <w:ilvl w:val="0"/>
          <w:numId w:val="21"/>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The County Council’s Pension Fund Committee takes major policy decisions and monitors overall performance. The Pension Fund Committee comprises fourteen County Councillors and seven voting co-optees representing other interested organisations;</w:t>
      </w:r>
    </w:p>
    <w:p w:rsidR="00033F98" w:rsidRPr="00033F98" w:rsidRDefault="00033F98" w:rsidP="00033F98">
      <w:pPr>
        <w:widowControl w:val="0"/>
        <w:autoSpaceDE/>
        <w:adjustRightInd/>
        <w:spacing w:after="0" w:line="276" w:lineRule="auto"/>
        <w:rPr>
          <w:rFonts w:eastAsia="Times New Roman" w:cs="Arial"/>
          <w:color w:val="auto"/>
          <w:lang w:val="en" w:eastAsia="en-GB"/>
        </w:rPr>
      </w:pPr>
    </w:p>
    <w:p w:rsidR="00033F98" w:rsidRPr="00033F98" w:rsidRDefault="00033F98" w:rsidP="00033F98">
      <w:pPr>
        <w:widowControl w:val="0"/>
        <w:numPr>
          <w:ilvl w:val="0"/>
          <w:numId w:val="21"/>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The Investment Panel ("Panel") provides expert professional advice to the Pension Fund Committee in relation to investment strategy. The Panel supports the Head of Fund with the specialist advice required by the Pension Fund Committee.  The Investment Panel consists of two independent external investment advisors and the Head of Fund.</w:t>
      </w:r>
    </w:p>
    <w:p w:rsidR="00033F98" w:rsidRPr="00033F98" w:rsidRDefault="00033F98" w:rsidP="00033F98">
      <w:pPr>
        <w:widowControl w:val="0"/>
        <w:autoSpaceDE/>
        <w:adjustRightInd/>
        <w:spacing w:after="0" w:line="276" w:lineRule="auto"/>
        <w:ind w:left="720"/>
        <w:rPr>
          <w:rFonts w:eastAsia="Times New Roman" w:cs="Arial"/>
          <w:color w:val="auto"/>
          <w:lang w:val="en" w:eastAsia="en-GB"/>
        </w:rPr>
      </w:pPr>
    </w:p>
    <w:p w:rsidR="00033F98" w:rsidRPr="00033F98" w:rsidRDefault="00033F98" w:rsidP="00033F98">
      <w:pPr>
        <w:widowControl w:val="0"/>
        <w:numPr>
          <w:ilvl w:val="0"/>
          <w:numId w:val="21"/>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 xml:space="preserve">The </w:t>
      </w:r>
      <w:r w:rsidR="003323F2">
        <w:rPr>
          <w:rFonts w:eastAsia="Times New Roman" w:cs="Arial"/>
          <w:color w:val="auto"/>
          <w:lang w:val="en" w:eastAsia="en-GB"/>
        </w:rPr>
        <w:t>i</w:t>
      </w:r>
      <w:r w:rsidRPr="00033F98">
        <w:rPr>
          <w:rFonts w:eastAsia="Times New Roman" w:cs="Arial"/>
          <w:color w:val="auto"/>
          <w:lang w:val="en" w:eastAsia="en-GB"/>
        </w:rPr>
        <w:t xml:space="preserve">nvestment </w:t>
      </w:r>
      <w:r w:rsidR="003323F2">
        <w:rPr>
          <w:rFonts w:eastAsia="Times New Roman" w:cs="Arial"/>
          <w:color w:val="auto"/>
          <w:lang w:val="en" w:eastAsia="en-GB"/>
        </w:rPr>
        <w:t>m</w:t>
      </w:r>
      <w:r w:rsidRPr="00033F98">
        <w:rPr>
          <w:rFonts w:eastAsia="Times New Roman" w:cs="Arial"/>
          <w:color w:val="auto"/>
          <w:lang w:val="en" w:eastAsia="en-GB"/>
        </w:rPr>
        <w:t xml:space="preserve">anagement </w:t>
      </w:r>
      <w:r w:rsidR="003323F2">
        <w:rPr>
          <w:rFonts w:eastAsia="Times New Roman" w:cs="Arial"/>
          <w:color w:val="auto"/>
          <w:lang w:val="en" w:eastAsia="en-GB"/>
        </w:rPr>
        <w:t>t</w:t>
      </w:r>
      <w:r w:rsidRPr="00033F98">
        <w:rPr>
          <w:rFonts w:eastAsia="Times New Roman" w:cs="Arial"/>
          <w:color w:val="auto"/>
          <w:lang w:val="en" w:eastAsia="en-GB"/>
        </w:rPr>
        <w:t xml:space="preserve">eam of Local Pensions Partnership Investments Limited undertake day-to-day investment fund selection, monitoring and due-diligence; </w:t>
      </w:r>
    </w:p>
    <w:p w:rsidR="00033F98" w:rsidRPr="00033F98" w:rsidRDefault="00033F98" w:rsidP="00033F98">
      <w:pPr>
        <w:widowControl w:val="0"/>
        <w:spacing w:after="0" w:line="276" w:lineRule="auto"/>
        <w:ind w:left="720"/>
        <w:rPr>
          <w:rFonts w:eastAsia="Times New Roman" w:cs="Arial"/>
          <w:color w:val="auto"/>
          <w:lang w:val="en" w:eastAsia="en-GB"/>
        </w:rPr>
      </w:pPr>
    </w:p>
    <w:p w:rsidR="00033F98" w:rsidRPr="00033F98" w:rsidRDefault="00033F98" w:rsidP="00033F98">
      <w:pPr>
        <w:widowControl w:val="0"/>
        <w:numPr>
          <w:ilvl w:val="0"/>
          <w:numId w:val="21"/>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Where LPP I have chosen to make allocations to third party investment managers or to invest in third party unitised investment vehicles, those managers fix precise weightings and select the individual investments within their particular remit;</w:t>
      </w:r>
    </w:p>
    <w:p w:rsidR="00033F98" w:rsidRPr="00033F98" w:rsidRDefault="00033F98" w:rsidP="00033F98">
      <w:pPr>
        <w:widowControl w:val="0"/>
        <w:spacing w:after="0" w:line="276" w:lineRule="auto"/>
        <w:rPr>
          <w:rFonts w:eastAsia="Times New Roman" w:cs="Arial"/>
          <w:color w:val="auto"/>
          <w:lang w:val="en" w:eastAsia="en-GB"/>
        </w:rPr>
      </w:pPr>
    </w:p>
    <w:p w:rsidR="00033F98" w:rsidRPr="00033F98" w:rsidRDefault="00033F98" w:rsidP="00033F98">
      <w:pPr>
        <w:widowControl w:val="0"/>
        <w:spacing w:after="0" w:line="276" w:lineRule="auto"/>
        <w:rPr>
          <w:rFonts w:eastAsia="Times New Roman" w:cs="Arial"/>
          <w:color w:val="auto"/>
          <w:u w:val="single"/>
          <w:lang w:val="en" w:eastAsia="en-GB"/>
        </w:rPr>
      </w:pPr>
      <w:r w:rsidRPr="00033F98">
        <w:rPr>
          <w:rFonts w:eastAsia="Times New Roman" w:cs="Arial"/>
          <w:color w:val="auto"/>
          <w:lang w:val="en" w:eastAsia="en-GB"/>
        </w:rPr>
        <w:t xml:space="preserve">A more detailed description of the responsibilities of the Committee, its Sub-Committees and the Panel is found in the Governance Policy Statement. </w:t>
      </w:r>
    </w:p>
    <w:p w:rsidR="00033F98" w:rsidRDefault="00033F98" w:rsidP="00033F98">
      <w:pPr>
        <w:keepNext/>
        <w:keepLines/>
        <w:widowControl w:val="0"/>
        <w:spacing w:after="0" w:line="276" w:lineRule="auto"/>
        <w:rPr>
          <w:rFonts w:eastAsia="Times New Roman" w:cs="Arial"/>
          <w:b/>
          <w:color w:val="auto"/>
          <w:lang w:eastAsia="en-GB"/>
        </w:rPr>
      </w:pPr>
    </w:p>
    <w:p w:rsidR="0006578C" w:rsidRDefault="0006578C" w:rsidP="00033F98">
      <w:pPr>
        <w:keepNext/>
        <w:keepLines/>
        <w:widowControl w:val="0"/>
        <w:spacing w:after="0" w:line="276" w:lineRule="auto"/>
        <w:rPr>
          <w:rFonts w:eastAsia="Times New Roman" w:cs="Arial"/>
          <w:b/>
          <w:color w:val="auto"/>
          <w:lang w:eastAsia="en-GB"/>
        </w:rPr>
      </w:pPr>
    </w:p>
    <w:p w:rsidR="0006578C" w:rsidRDefault="0006578C" w:rsidP="00033F98">
      <w:pPr>
        <w:keepNext/>
        <w:keepLines/>
        <w:widowControl w:val="0"/>
        <w:spacing w:after="0" w:line="276" w:lineRule="auto"/>
        <w:rPr>
          <w:rFonts w:eastAsia="Times New Roman" w:cs="Arial"/>
          <w:b/>
          <w:color w:val="auto"/>
          <w:lang w:eastAsia="en-GB"/>
        </w:rPr>
      </w:pPr>
      <w:r w:rsidRPr="0006578C">
        <w:rPr>
          <w:rFonts w:eastAsia="Times New Roman" w:cs="Arial"/>
          <w:b/>
          <w:color w:val="auto"/>
          <w:lang w:eastAsia="en-GB"/>
        </w:rPr>
        <w:t>Responsible investment</w:t>
      </w:r>
    </w:p>
    <w:p w:rsidR="0006578C" w:rsidRDefault="0006578C" w:rsidP="00033F98">
      <w:pPr>
        <w:keepNext/>
        <w:keepLines/>
        <w:widowControl w:val="0"/>
        <w:spacing w:after="0" w:line="276" w:lineRule="auto"/>
        <w:rPr>
          <w:rFonts w:eastAsia="Times New Roman" w:cs="Arial"/>
          <w:b/>
          <w:color w:val="auto"/>
          <w:lang w:eastAsia="en-GB"/>
        </w:rPr>
      </w:pPr>
    </w:p>
    <w:p w:rsidR="0006578C" w:rsidRPr="00033F98" w:rsidRDefault="0006578C" w:rsidP="0006578C">
      <w:pPr>
        <w:spacing w:after="0" w:line="276" w:lineRule="auto"/>
        <w:rPr>
          <w:rFonts w:cs="Arial"/>
          <w:bCs/>
        </w:rPr>
      </w:pPr>
      <w:r w:rsidRPr="00033F98">
        <w:rPr>
          <w:rFonts w:cs="Arial"/>
        </w:rPr>
        <w:t>L</w:t>
      </w:r>
      <w:r>
        <w:rPr>
          <w:rFonts w:cs="Arial"/>
        </w:rPr>
        <w:t xml:space="preserve">ancashire County Pension Fund </w:t>
      </w:r>
      <w:r w:rsidRPr="00033F98">
        <w:rPr>
          <w:rFonts w:cs="Arial"/>
        </w:rPr>
        <w:t xml:space="preserve">is committed to responsible asset ownership and </w:t>
      </w:r>
      <w:r w:rsidRPr="00033F98">
        <w:rPr>
          <w:rFonts w:eastAsia="Times New Roman" w:cs="Arial"/>
          <w:color w:val="auto"/>
          <w:lang w:val="en" w:eastAsia="en-GB"/>
        </w:rPr>
        <w:t xml:space="preserve">became a signatory to the Principles of Responsible Investment (PRI) in March 2015. </w:t>
      </w:r>
    </w:p>
    <w:p w:rsidR="0006578C" w:rsidRPr="00033F98" w:rsidRDefault="0006578C" w:rsidP="0006578C">
      <w:pPr>
        <w:widowControl w:val="0"/>
        <w:spacing w:after="0" w:line="276" w:lineRule="auto"/>
        <w:rPr>
          <w:rFonts w:eastAsia="Times New Roman" w:cs="Arial"/>
          <w:color w:val="auto"/>
          <w:lang w:val="en" w:eastAsia="en-GB"/>
        </w:rPr>
      </w:pPr>
    </w:p>
    <w:p w:rsidR="0006578C" w:rsidRPr="00033F98" w:rsidRDefault="0006578C" w:rsidP="0006578C">
      <w:pPr>
        <w:widowControl w:val="0"/>
        <w:spacing w:after="0" w:line="276" w:lineRule="auto"/>
        <w:rPr>
          <w:rFonts w:eastAsia="Times New Roman" w:cs="Arial"/>
          <w:color w:val="auto"/>
          <w:lang w:val="en" w:eastAsia="en-GB"/>
        </w:rPr>
      </w:pPr>
      <w:r w:rsidRPr="00033F98">
        <w:rPr>
          <w:rFonts w:eastAsia="Times New Roman" w:cs="Arial"/>
          <w:color w:val="auto"/>
          <w:lang w:val="en" w:eastAsia="en-GB"/>
        </w:rPr>
        <w:t xml:space="preserve">All </w:t>
      </w:r>
      <w:r w:rsidRPr="00033F98">
        <w:rPr>
          <w:rFonts w:cs="Arial"/>
          <w:lang w:val="en-US"/>
        </w:rPr>
        <w:t>PRI Signatories' make the following commitment:</w:t>
      </w:r>
    </w:p>
    <w:p w:rsidR="0006578C" w:rsidRPr="00033F98" w:rsidRDefault="0006578C" w:rsidP="0006578C">
      <w:pPr>
        <w:pStyle w:val="NormalWeb"/>
        <w:spacing w:line="276" w:lineRule="auto"/>
        <w:jc w:val="both"/>
        <w:rPr>
          <w:rFonts w:ascii="Arial" w:hAnsi="Arial" w:cs="Arial"/>
          <w:color w:val="000000"/>
          <w:lang w:val="en-US"/>
        </w:rPr>
      </w:pPr>
      <w:r w:rsidRPr="00033F98">
        <w:rPr>
          <w:rFonts w:ascii="Arial" w:hAnsi="Arial" w:cs="Arial"/>
          <w:color w:val="000000"/>
          <w:lang w:val="en-US"/>
        </w:rPr>
        <w:t xml:space="preserve">"As institutional investors, we have a duty to act in the best long-term interests of our beneficiaries. In this fiduciary role, we believe that </w:t>
      </w:r>
      <w:r w:rsidR="005B1DC3" w:rsidRPr="005B1DC3">
        <w:rPr>
          <w:rFonts w:ascii="Arial" w:hAnsi="Arial" w:cs="Arial"/>
        </w:rPr>
        <w:t>environmental, social and corporate governance (ESG)</w:t>
      </w:r>
      <w:r w:rsidRPr="00033F98">
        <w:rPr>
          <w:rFonts w:ascii="Arial" w:hAnsi="Arial" w:cs="Arial"/>
          <w:color w:val="000000"/>
          <w:lang w:val="en-US"/>
        </w:rPr>
        <w:t xml:space="preserve"> issues can affect the performance of investment portfolios (to varying degrees across companies, sectors, regions, asset classes and through time).</w:t>
      </w:r>
    </w:p>
    <w:p w:rsidR="0006578C" w:rsidRPr="00033F98" w:rsidRDefault="0006578C" w:rsidP="0006578C">
      <w:pPr>
        <w:pStyle w:val="NormalWeb"/>
        <w:spacing w:line="276" w:lineRule="auto"/>
        <w:jc w:val="both"/>
        <w:rPr>
          <w:rFonts w:ascii="Arial" w:hAnsi="Arial" w:cs="Arial"/>
          <w:color w:val="000000"/>
          <w:lang w:val="en-US"/>
        </w:rPr>
      </w:pPr>
      <w:r w:rsidRPr="00033F98">
        <w:rPr>
          <w:rFonts w:ascii="Arial" w:hAnsi="Arial" w:cs="Arial"/>
          <w:color w:val="000000"/>
          <w:lang w:val="en-US"/>
        </w:rPr>
        <w:t xml:space="preserve">We also recognise that applying these </w:t>
      </w:r>
      <w:r>
        <w:rPr>
          <w:rFonts w:ascii="Arial" w:hAnsi="Arial" w:cs="Arial"/>
          <w:color w:val="000000"/>
          <w:lang w:val="en-US"/>
        </w:rPr>
        <w:t>p</w:t>
      </w:r>
      <w:r w:rsidRPr="00033F98">
        <w:rPr>
          <w:rFonts w:ascii="Arial" w:hAnsi="Arial" w:cs="Arial"/>
          <w:color w:val="000000"/>
          <w:lang w:val="en-US"/>
        </w:rPr>
        <w:t>rinciples may better align investors with broader objectives of society. Therefore, where consistent with our fiduciary responsibilities, we commit to the following:</w:t>
      </w:r>
    </w:p>
    <w:p w:rsidR="0006578C" w:rsidRPr="00033F98" w:rsidRDefault="0006578C" w:rsidP="0006578C">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 xml:space="preserve">Principle 1 </w:t>
      </w:r>
      <w:r w:rsidRPr="00033F98">
        <w:rPr>
          <w:rFonts w:ascii="Arial" w:hAnsi="Arial" w:cs="Arial"/>
          <w:color w:val="000000"/>
          <w:lang w:val="en-US"/>
        </w:rPr>
        <w:tab/>
        <w:t>We will incorporate ESG issues into investment analysis and decision-making processes;</w:t>
      </w:r>
    </w:p>
    <w:p w:rsidR="0006578C" w:rsidRPr="00033F98" w:rsidRDefault="0006578C" w:rsidP="0006578C">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Principle 2</w:t>
      </w:r>
      <w:r w:rsidRPr="00033F98">
        <w:rPr>
          <w:rFonts w:ascii="Arial" w:hAnsi="Arial" w:cs="Arial"/>
          <w:color w:val="000000"/>
          <w:lang w:val="en-US"/>
        </w:rPr>
        <w:tab/>
        <w:t>We will be active owners and incorporate ESG issues into our ownership policies and practices;</w:t>
      </w:r>
    </w:p>
    <w:p w:rsidR="0006578C" w:rsidRPr="00033F98" w:rsidRDefault="0006578C" w:rsidP="0006578C">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 xml:space="preserve">Principle 3 </w:t>
      </w:r>
      <w:r w:rsidRPr="00033F98">
        <w:rPr>
          <w:rFonts w:ascii="Arial" w:hAnsi="Arial" w:cs="Arial"/>
          <w:color w:val="000000"/>
          <w:lang w:val="en-US"/>
        </w:rPr>
        <w:tab/>
        <w:t>We will seek appropriate disclosure on ESG issues by the entities in which we invest;</w:t>
      </w:r>
    </w:p>
    <w:p w:rsidR="0006578C" w:rsidRPr="00033F98" w:rsidRDefault="0006578C" w:rsidP="0006578C">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Principle 4</w:t>
      </w:r>
      <w:r w:rsidRPr="00033F98">
        <w:rPr>
          <w:rFonts w:ascii="Arial" w:hAnsi="Arial" w:cs="Arial"/>
          <w:color w:val="000000"/>
          <w:lang w:val="en-US"/>
        </w:rPr>
        <w:tab/>
        <w:t>We will promote acceptance and implementation of the Principles within the investment industry;</w:t>
      </w:r>
    </w:p>
    <w:p w:rsidR="0006578C" w:rsidRPr="00033F98" w:rsidRDefault="0006578C" w:rsidP="0006578C">
      <w:pPr>
        <w:pStyle w:val="NormalWeb"/>
        <w:spacing w:line="276" w:lineRule="auto"/>
        <w:jc w:val="both"/>
        <w:rPr>
          <w:rFonts w:ascii="Arial" w:hAnsi="Arial" w:cs="Arial"/>
          <w:color w:val="000000"/>
          <w:lang w:val="en-US"/>
        </w:rPr>
      </w:pPr>
      <w:r w:rsidRPr="00033F98">
        <w:rPr>
          <w:rFonts w:ascii="Arial" w:hAnsi="Arial" w:cs="Arial"/>
          <w:color w:val="000000"/>
          <w:lang w:val="en-US"/>
        </w:rPr>
        <w:t>Principle 5</w:t>
      </w:r>
      <w:r w:rsidRPr="00033F98">
        <w:rPr>
          <w:rFonts w:ascii="Arial" w:hAnsi="Arial" w:cs="Arial"/>
          <w:color w:val="000000"/>
          <w:lang w:val="en-US"/>
        </w:rPr>
        <w:tab/>
        <w:t>We will work together to enhance our effectiveness in implementing the Principles;</w:t>
      </w:r>
    </w:p>
    <w:p w:rsidR="0006578C" w:rsidRPr="00033F98" w:rsidRDefault="0006578C" w:rsidP="0006578C">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Principle 6</w:t>
      </w:r>
      <w:r w:rsidRPr="00033F98">
        <w:rPr>
          <w:rFonts w:ascii="Arial" w:hAnsi="Arial" w:cs="Arial"/>
          <w:color w:val="000000"/>
          <w:lang w:val="en-US"/>
        </w:rPr>
        <w:tab/>
        <w:t>We will each report on our activities and progress towards implementing the Principles.</w:t>
      </w:r>
    </w:p>
    <w:p w:rsidR="0006578C" w:rsidRDefault="0006578C" w:rsidP="0006578C">
      <w:pPr>
        <w:keepNext/>
        <w:keepLines/>
        <w:widowControl w:val="0"/>
        <w:spacing w:after="0" w:line="276" w:lineRule="auto"/>
        <w:rPr>
          <w:rFonts w:eastAsia="Times New Roman" w:cs="Arial"/>
          <w:b/>
          <w:color w:val="auto"/>
          <w:lang w:eastAsia="en-GB"/>
        </w:rPr>
      </w:pPr>
      <w:r w:rsidRPr="00033F98">
        <w:rPr>
          <w:rFonts w:eastAsia="Times New Roman" w:cs="Arial"/>
          <w:color w:val="auto"/>
          <w:lang w:val="en" w:eastAsia="en-GB"/>
        </w:rPr>
        <w:t xml:space="preserve">The Fund reported against the principles for the second time in March 2018. Transparency </w:t>
      </w:r>
      <w:r>
        <w:rPr>
          <w:rFonts w:eastAsia="Times New Roman" w:cs="Arial"/>
          <w:color w:val="auto"/>
          <w:lang w:val="en" w:eastAsia="en-GB"/>
        </w:rPr>
        <w:t>r</w:t>
      </w:r>
      <w:r w:rsidRPr="00033F98">
        <w:rPr>
          <w:rFonts w:eastAsia="Times New Roman" w:cs="Arial"/>
          <w:color w:val="auto"/>
          <w:lang w:val="en" w:eastAsia="en-GB"/>
        </w:rPr>
        <w:t xml:space="preserve">eports capturing the detail of the Fund’s annual reporting are publicly available from the PRI website.  </w:t>
      </w:r>
      <w:hyperlink r:id="rId24" w:history="1">
        <w:r w:rsidRPr="00033F98">
          <w:rPr>
            <w:rStyle w:val="Hyperlink"/>
            <w:lang w:val="en"/>
          </w:rPr>
          <w:t>PRI Reporting Framework</w:t>
        </w:r>
      </w:hyperlink>
    </w:p>
    <w:p w:rsidR="0006578C" w:rsidRDefault="0006578C" w:rsidP="0006578C">
      <w:pPr>
        <w:rPr>
          <w:rFonts w:cs="Arial"/>
        </w:rPr>
      </w:pPr>
    </w:p>
    <w:p w:rsidR="0006578C" w:rsidRDefault="0006578C" w:rsidP="0006578C">
      <w:pPr>
        <w:rPr>
          <w:rFonts w:cs="Arial"/>
        </w:rPr>
      </w:pPr>
      <w:r>
        <w:rPr>
          <w:rFonts w:cs="Arial"/>
        </w:rPr>
        <w:t xml:space="preserve">The Fund has developed and agreed a Responsible Investment Policy which aims to integrate environmental, social and governance (ESG) issues into its investments.  </w:t>
      </w:r>
      <w:r w:rsidRPr="00105364">
        <w:rPr>
          <w:rFonts w:cs="Arial"/>
        </w:rPr>
        <w:t xml:space="preserve">This is consistent with the LGPS Management and Investment of Funds Regulations (2016) and the Fund’s fiduciary duty to </w:t>
      </w:r>
      <w:r w:rsidRPr="00105364">
        <w:rPr>
          <w:rFonts w:cs="Arial"/>
        </w:rPr>
        <w:lastRenderedPageBreak/>
        <w:t>act in the best long-term interest of our members. The Policy reflects the Fund's Investment Strategy Statement and our approach to complying with the UK Stewardship Code.</w:t>
      </w:r>
    </w:p>
    <w:p w:rsidR="0006578C" w:rsidRDefault="0006578C" w:rsidP="0006578C">
      <w:pPr>
        <w:spacing w:after="0"/>
        <w:rPr>
          <w:rFonts w:cs="Arial"/>
        </w:rPr>
      </w:pPr>
      <w:r w:rsidRPr="00105364">
        <w:rPr>
          <w:rFonts w:cs="Arial"/>
        </w:rPr>
        <w:t>The Funds' values and principles reflect the need to deliver sustainable investment returns in order to pay pension benefits. They recognise the importance of assessing sources of risk and opportunity over an extended time horizon and emphasise the importance of diligent stewardship as part of engaged asset ownership.</w:t>
      </w:r>
    </w:p>
    <w:p w:rsidR="0006578C" w:rsidRDefault="0006578C" w:rsidP="0006578C">
      <w:pPr>
        <w:rPr>
          <w:rFonts w:cs="Arial"/>
        </w:rPr>
      </w:pPr>
    </w:p>
    <w:p w:rsidR="0006578C" w:rsidRDefault="0006578C" w:rsidP="0006578C">
      <w:pPr>
        <w:rPr>
          <w:rFonts w:cs="Arial"/>
        </w:rPr>
      </w:pPr>
      <w:r>
        <w:rPr>
          <w:rFonts w:cs="Arial"/>
        </w:rPr>
        <w:t>The Funds key Responsible Investment principles include:</w:t>
      </w:r>
    </w:p>
    <w:p w:rsidR="0006578C" w:rsidRPr="00105364" w:rsidRDefault="0006578C" w:rsidP="00957C31">
      <w:pPr>
        <w:pStyle w:val="ListParagraph"/>
        <w:numPr>
          <w:ilvl w:val="0"/>
          <w:numId w:val="51"/>
        </w:numPr>
        <w:autoSpaceDE/>
        <w:autoSpaceDN/>
        <w:adjustRightInd/>
        <w:spacing w:after="0" w:line="259" w:lineRule="auto"/>
        <w:ind w:left="284"/>
        <w:jc w:val="left"/>
        <w:rPr>
          <w:rFonts w:cs="Arial"/>
        </w:rPr>
      </w:pPr>
      <w:r w:rsidRPr="00105364">
        <w:rPr>
          <w:rFonts w:cs="Arial"/>
        </w:rPr>
        <w:t>Effective management of financially material ESG risks will support the Fund's requirement to protect returns over the long term;</w:t>
      </w:r>
    </w:p>
    <w:p w:rsidR="0006578C" w:rsidRPr="00105364" w:rsidRDefault="0006578C" w:rsidP="00957C31">
      <w:pPr>
        <w:pStyle w:val="ListParagraph"/>
        <w:numPr>
          <w:ilvl w:val="0"/>
          <w:numId w:val="51"/>
        </w:numPr>
        <w:autoSpaceDE/>
        <w:autoSpaceDN/>
        <w:adjustRightInd/>
        <w:spacing w:after="0" w:line="259" w:lineRule="auto"/>
        <w:ind w:left="284"/>
        <w:jc w:val="left"/>
        <w:rPr>
          <w:rFonts w:cs="Arial"/>
        </w:rPr>
      </w:pPr>
      <w:r w:rsidRPr="00105364">
        <w:rPr>
          <w:rFonts w:cs="Arial"/>
        </w:rPr>
        <w:t>Apply a robust approach to effective stewardship;</w:t>
      </w:r>
    </w:p>
    <w:p w:rsidR="0006578C" w:rsidRPr="00105364" w:rsidRDefault="0006578C" w:rsidP="00957C31">
      <w:pPr>
        <w:pStyle w:val="ListParagraph"/>
        <w:numPr>
          <w:ilvl w:val="0"/>
          <w:numId w:val="51"/>
        </w:numPr>
        <w:autoSpaceDE/>
        <w:autoSpaceDN/>
        <w:adjustRightInd/>
        <w:spacing w:after="0" w:line="259" w:lineRule="auto"/>
        <w:ind w:left="284"/>
        <w:jc w:val="left"/>
        <w:rPr>
          <w:rFonts w:cs="Arial"/>
        </w:rPr>
      </w:pPr>
      <w:r w:rsidRPr="00105364">
        <w:rPr>
          <w:rFonts w:cs="Arial"/>
        </w:rPr>
        <w:t>Seek sustainable returns from well governed and sustainable assets;</w:t>
      </w:r>
    </w:p>
    <w:p w:rsidR="0006578C" w:rsidRPr="00105364" w:rsidRDefault="0006578C" w:rsidP="00957C31">
      <w:pPr>
        <w:pStyle w:val="ListParagraph"/>
        <w:numPr>
          <w:ilvl w:val="0"/>
          <w:numId w:val="51"/>
        </w:numPr>
        <w:autoSpaceDE/>
        <w:autoSpaceDN/>
        <w:adjustRightInd/>
        <w:spacing w:after="0" w:line="259" w:lineRule="auto"/>
        <w:ind w:left="284"/>
        <w:jc w:val="left"/>
        <w:rPr>
          <w:rFonts w:cs="Arial"/>
        </w:rPr>
      </w:pPr>
      <w:r w:rsidRPr="00105364">
        <w:rPr>
          <w:rFonts w:cs="Arial"/>
        </w:rPr>
        <w:t>Responsible investment is core in our skills, knowledge and advice;</w:t>
      </w:r>
    </w:p>
    <w:p w:rsidR="0006578C" w:rsidRPr="00105364" w:rsidRDefault="0006578C" w:rsidP="00957C31">
      <w:pPr>
        <w:pStyle w:val="ListParagraph"/>
        <w:numPr>
          <w:ilvl w:val="0"/>
          <w:numId w:val="51"/>
        </w:numPr>
        <w:autoSpaceDE/>
        <w:autoSpaceDN/>
        <w:adjustRightInd/>
        <w:spacing w:after="0" w:line="259" w:lineRule="auto"/>
        <w:ind w:left="284"/>
        <w:jc w:val="left"/>
        <w:rPr>
          <w:rFonts w:cs="Arial"/>
        </w:rPr>
      </w:pPr>
      <w:r w:rsidRPr="00105364">
        <w:rPr>
          <w:rFonts w:cs="Arial"/>
        </w:rPr>
        <w:t>Seek to innovate, demonstrate and promote RI leadership and Environmental, Social and Governance (ESG) best practice;</w:t>
      </w:r>
    </w:p>
    <w:p w:rsidR="0006578C" w:rsidRPr="00105364" w:rsidRDefault="0006578C" w:rsidP="00957C31">
      <w:pPr>
        <w:pStyle w:val="ListParagraph"/>
        <w:numPr>
          <w:ilvl w:val="0"/>
          <w:numId w:val="51"/>
        </w:numPr>
        <w:autoSpaceDE/>
        <w:autoSpaceDN/>
        <w:adjustRightInd/>
        <w:spacing w:after="0" w:line="259" w:lineRule="auto"/>
        <w:ind w:left="284"/>
        <w:jc w:val="left"/>
        <w:rPr>
          <w:rFonts w:cs="Arial"/>
        </w:rPr>
      </w:pPr>
      <w:r w:rsidRPr="00105364">
        <w:rPr>
          <w:rFonts w:cs="Arial"/>
        </w:rPr>
        <w:t>Achieve improvements in ESG through effective partnerships that have robust oversight;</w:t>
      </w:r>
    </w:p>
    <w:p w:rsidR="0006578C" w:rsidRPr="00105364" w:rsidRDefault="0006578C" w:rsidP="00957C31">
      <w:pPr>
        <w:pStyle w:val="ListParagraph"/>
        <w:numPr>
          <w:ilvl w:val="0"/>
          <w:numId w:val="51"/>
        </w:numPr>
        <w:autoSpaceDE/>
        <w:autoSpaceDN/>
        <w:adjustRightInd/>
        <w:spacing w:after="0" w:line="259" w:lineRule="auto"/>
        <w:ind w:left="284"/>
        <w:jc w:val="left"/>
        <w:rPr>
          <w:rFonts w:cs="Arial"/>
        </w:rPr>
      </w:pPr>
      <w:r w:rsidRPr="00105364">
        <w:rPr>
          <w:rFonts w:cs="Arial"/>
        </w:rPr>
        <w:t>Share ideas and best practice to achieve wider and more valuable RI and ESG outcomes.</w:t>
      </w:r>
    </w:p>
    <w:p w:rsidR="0006578C" w:rsidRDefault="0006578C" w:rsidP="0006578C">
      <w:pPr>
        <w:rPr>
          <w:rFonts w:cs="Arial"/>
        </w:rPr>
      </w:pPr>
    </w:p>
    <w:p w:rsidR="0006578C" w:rsidRDefault="0006578C" w:rsidP="0006578C">
      <w:pPr>
        <w:rPr>
          <w:rFonts w:cs="Arial"/>
        </w:rPr>
      </w:pPr>
      <w:r>
        <w:rPr>
          <w:rFonts w:cs="Arial"/>
        </w:rPr>
        <w:t xml:space="preserve">The </w:t>
      </w:r>
      <w:r w:rsidR="00C16643">
        <w:rPr>
          <w:rFonts w:cs="Arial"/>
        </w:rPr>
        <w:t>Funds</w:t>
      </w:r>
      <w:r>
        <w:rPr>
          <w:rFonts w:cs="Arial"/>
        </w:rPr>
        <w:t xml:space="preserve"> key priorities include:</w:t>
      </w:r>
    </w:p>
    <w:p w:rsidR="0006578C" w:rsidRPr="002E6473" w:rsidRDefault="0006578C" w:rsidP="0006578C">
      <w:pPr>
        <w:spacing w:after="0"/>
        <w:rPr>
          <w:rFonts w:cs="Arial"/>
        </w:rPr>
      </w:pPr>
    </w:p>
    <w:p w:rsidR="0006578C" w:rsidRPr="006C28EC" w:rsidRDefault="0006578C" w:rsidP="00957C31">
      <w:pPr>
        <w:pStyle w:val="ListParagraph"/>
        <w:numPr>
          <w:ilvl w:val="0"/>
          <w:numId w:val="52"/>
        </w:numPr>
        <w:autoSpaceDE/>
        <w:autoSpaceDN/>
        <w:adjustRightInd/>
        <w:spacing w:after="0" w:line="259" w:lineRule="auto"/>
        <w:ind w:left="284"/>
        <w:jc w:val="left"/>
        <w:rPr>
          <w:rFonts w:cs="Arial"/>
        </w:rPr>
      </w:pPr>
      <w:r w:rsidRPr="006C28EC">
        <w:rPr>
          <w:rFonts w:cs="Arial"/>
        </w:rPr>
        <w:t>Climate change – engaging with pension funds and other stakeholders to develop and share best practice, recognising and managing the risks and opportunities investments face from climate change;</w:t>
      </w:r>
    </w:p>
    <w:p w:rsidR="0006578C" w:rsidRPr="006C28EC" w:rsidRDefault="0006578C" w:rsidP="00957C31">
      <w:pPr>
        <w:pStyle w:val="ListParagraph"/>
        <w:numPr>
          <w:ilvl w:val="0"/>
          <w:numId w:val="52"/>
        </w:numPr>
        <w:autoSpaceDE/>
        <w:autoSpaceDN/>
        <w:adjustRightInd/>
        <w:spacing w:after="0" w:line="259" w:lineRule="auto"/>
        <w:ind w:left="284"/>
        <w:jc w:val="left"/>
        <w:rPr>
          <w:rFonts w:cs="Arial"/>
        </w:rPr>
      </w:pPr>
      <w:r w:rsidRPr="006C28EC">
        <w:rPr>
          <w:rFonts w:cs="Arial"/>
        </w:rPr>
        <w:t>Corporate Governance – promoting the case for well managed companies which implement fair and just employment practices and address excessive corporate pay differentials;</w:t>
      </w:r>
    </w:p>
    <w:p w:rsidR="0006578C" w:rsidRDefault="0006578C" w:rsidP="0006578C">
      <w:pPr>
        <w:rPr>
          <w:rFonts w:cs="Arial"/>
        </w:rPr>
      </w:pPr>
    </w:p>
    <w:p w:rsidR="0006578C" w:rsidRDefault="0006578C" w:rsidP="0006578C">
      <w:pPr>
        <w:rPr>
          <w:rFonts w:cs="Arial"/>
        </w:rPr>
      </w:pPr>
      <w:r>
        <w:rPr>
          <w:rFonts w:cs="Arial"/>
        </w:rPr>
        <w:t>Implementation of the Fund's approach to Responsible Investment divides into the following four areas of activity:</w:t>
      </w:r>
    </w:p>
    <w:p w:rsidR="00CA56A3" w:rsidRDefault="0006578C" w:rsidP="00957C31">
      <w:pPr>
        <w:pStyle w:val="ListParagraph"/>
        <w:numPr>
          <w:ilvl w:val="0"/>
          <w:numId w:val="53"/>
        </w:numPr>
        <w:autoSpaceDE/>
        <w:autoSpaceDN/>
        <w:adjustRightInd/>
        <w:spacing w:after="160" w:line="259" w:lineRule="auto"/>
        <w:jc w:val="left"/>
        <w:rPr>
          <w:rFonts w:cs="Arial"/>
        </w:rPr>
      </w:pPr>
      <w:r>
        <w:rPr>
          <w:rFonts w:cs="Arial"/>
        </w:rPr>
        <w:t>Voting Globally;</w:t>
      </w:r>
    </w:p>
    <w:p w:rsidR="00CA56A3" w:rsidRPr="00CA56A3" w:rsidRDefault="00CA56A3" w:rsidP="00CA56A3">
      <w:pPr>
        <w:autoSpaceDE/>
        <w:autoSpaceDN/>
        <w:adjustRightInd/>
        <w:spacing w:after="160" w:line="259" w:lineRule="auto"/>
        <w:ind w:left="709"/>
        <w:jc w:val="left"/>
        <w:rPr>
          <w:rFonts w:cs="Arial"/>
        </w:rPr>
      </w:pPr>
      <w:r w:rsidRPr="00CA56A3">
        <w:rPr>
          <w:rFonts w:eastAsia="Cambria" w:cs="Arial"/>
          <w:lang w:eastAsia="en-GB"/>
        </w:rPr>
        <w:t>Since November 2016 when the Fund pooled its listed equity investments, LCPF has owned units in a Global Equities Fund managed by LPPI rather than shares in underlying companies.  As a beneficial co-owner in the fund LCPF is not entitled to direct shareholder voting but has confirmed voting arrangements with LPPI which reflect responsible investment beliefs and the commitments of signatories to the Principles of Responsible Investment and which complies with good practice under the UK Stewardship Code.</w:t>
      </w:r>
    </w:p>
    <w:p w:rsidR="00CA56A3" w:rsidRPr="00CA56A3" w:rsidRDefault="00CA56A3" w:rsidP="00CA56A3">
      <w:pPr>
        <w:pStyle w:val="ListParagraph"/>
        <w:spacing w:after="0" w:line="276" w:lineRule="auto"/>
        <w:ind w:left="709"/>
        <w:rPr>
          <w:rFonts w:eastAsia="Cambria" w:cs="Arial"/>
          <w:lang w:eastAsia="en-GB"/>
        </w:rPr>
      </w:pPr>
      <w:r w:rsidRPr="00CA56A3">
        <w:rPr>
          <w:rFonts w:eastAsia="Cambria" w:cs="Arial"/>
          <w:lang w:eastAsia="en-GB"/>
        </w:rPr>
        <w:t xml:space="preserve">Shareholder voting for the Global Equities Fund is managed centrally by LPPI rather than being delegated to individual portfolio managers. This enables a consistent approach across the equities within the fund in accordance with a single voting policy. LPPI employs Institutional Shareholder Services (ISS) to oversee ballot management and vote execution and to provide information, analysis, voting recommendations, and reporting facilities via an online voting platform. </w:t>
      </w:r>
    </w:p>
    <w:p w:rsidR="00CA56A3" w:rsidRDefault="00CA56A3" w:rsidP="00CA56A3">
      <w:pPr>
        <w:pStyle w:val="ListParagraph"/>
        <w:spacing w:after="0" w:line="276" w:lineRule="auto"/>
        <w:ind w:hanging="11"/>
        <w:rPr>
          <w:rFonts w:eastAsia="Cambria" w:cs="Arial"/>
          <w:lang w:eastAsia="en-GB"/>
        </w:rPr>
      </w:pPr>
    </w:p>
    <w:p w:rsidR="00CA56A3" w:rsidRPr="00CA56A3" w:rsidRDefault="00CA56A3" w:rsidP="00CA56A3">
      <w:pPr>
        <w:pStyle w:val="ListParagraph"/>
        <w:spacing w:after="0" w:line="276" w:lineRule="auto"/>
        <w:ind w:hanging="11"/>
        <w:rPr>
          <w:rFonts w:eastAsia="Cambria" w:cs="Arial"/>
          <w:lang w:eastAsia="en-GB"/>
        </w:rPr>
      </w:pPr>
      <w:r w:rsidRPr="00CA56A3">
        <w:rPr>
          <w:rFonts w:eastAsia="Cambria" w:cs="Arial"/>
          <w:lang w:eastAsia="en-GB"/>
        </w:rPr>
        <w:t xml:space="preserve">Voting recommendations are in accordance with sustainability proxy voting guidelines </w:t>
      </w:r>
      <w:r w:rsidRPr="00CA56A3">
        <w:rPr>
          <w:rFonts w:cs="Arial"/>
        </w:rPr>
        <w:t xml:space="preserve">which </w:t>
      </w:r>
      <w:r w:rsidRPr="00CA56A3">
        <w:rPr>
          <w:rFonts w:cs="Arial"/>
          <w:lang w:val="en-US"/>
        </w:rPr>
        <w:t xml:space="preserve">are actively reviewed on an annual basis and updated to reflect </w:t>
      </w:r>
      <w:r w:rsidRPr="00CA56A3">
        <w:rPr>
          <w:rFonts w:cs="Arial"/>
          <w:color w:val="252525"/>
        </w:rPr>
        <w:t>emerging issues and trends.</w:t>
      </w:r>
      <w:r w:rsidRPr="00CA56A3">
        <w:rPr>
          <w:rFonts w:eastAsia="Cambria" w:cs="Arial"/>
          <w:lang w:eastAsia="en-GB"/>
        </w:rPr>
        <w:t xml:space="preserve"> </w:t>
      </w:r>
      <w:r w:rsidRPr="00CA56A3">
        <w:rPr>
          <w:rFonts w:eastAsia="Cambria" w:cs="Arial"/>
          <w:lang w:eastAsia="en-GB"/>
        </w:rPr>
        <w:lastRenderedPageBreak/>
        <w:t>The recommendations for forthcoming meetings are reviewed by LPPI and where there is a case for departing from the ISS recommendation this is considered carefully as part of making a final decision on voting direction. Where LPPI decides to depart from the ISS voting recommendation the rationale is recorded online and captured in reporting. In the period from 1</w:t>
      </w:r>
      <w:r w:rsidRPr="00CA56A3">
        <w:rPr>
          <w:rFonts w:eastAsia="Cambria" w:cs="Arial"/>
          <w:vertAlign w:val="superscript"/>
          <w:lang w:eastAsia="en-GB"/>
        </w:rPr>
        <w:t>st</w:t>
      </w:r>
      <w:r w:rsidRPr="00CA56A3">
        <w:rPr>
          <w:rFonts w:eastAsia="Cambria" w:cs="Arial"/>
          <w:lang w:eastAsia="en-GB"/>
        </w:rPr>
        <w:t xml:space="preserve"> April 2017 to 31 March 2018 this occurred in 9 instances (0.2% of resolutions voted). </w:t>
      </w:r>
    </w:p>
    <w:p w:rsidR="00CA56A3" w:rsidRPr="00CA56A3" w:rsidRDefault="00CA56A3" w:rsidP="00CA56A3">
      <w:pPr>
        <w:pStyle w:val="ListParagraph"/>
        <w:spacing w:after="0" w:line="276" w:lineRule="auto"/>
        <w:rPr>
          <w:rFonts w:eastAsia="Cambria" w:cs="Arial"/>
          <w:lang w:eastAsia="en-GB"/>
        </w:rPr>
      </w:pPr>
    </w:p>
    <w:p w:rsidR="00CA56A3" w:rsidRPr="00CA56A3" w:rsidRDefault="00CA56A3" w:rsidP="00CA56A3">
      <w:pPr>
        <w:pStyle w:val="ListParagraph"/>
        <w:spacing w:after="0" w:line="276" w:lineRule="auto"/>
        <w:ind w:left="709"/>
        <w:rPr>
          <w:rFonts w:cs="Arial"/>
        </w:rPr>
      </w:pPr>
      <w:r w:rsidRPr="00CA56A3">
        <w:rPr>
          <w:rFonts w:eastAsia="Cambria" w:cs="Arial"/>
          <w:lang w:eastAsia="en-GB"/>
        </w:rPr>
        <w:t xml:space="preserve">A record of voting activity is provided to the Pension Fund Committee quarterly as part of responsible investment reporting by LPPI. </w:t>
      </w:r>
    </w:p>
    <w:p w:rsidR="00CA56A3" w:rsidRPr="00CA56A3" w:rsidRDefault="00CA56A3" w:rsidP="00CA56A3">
      <w:pPr>
        <w:autoSpaceDE/>
        <w:autoSpaceDN/>
        <w:adjustRightInd/>
        <w:spacing w:after="160" w:line="259" w:lineRule="auto"/>
        <w:jc w:val="left"/>
        <w:rPr>
          <w:rFonts w:cs="Arial"/>
        </w:rPr>
      </w:pPr>
    </w:p>
    <w:p w:rsidR="0006578C" w:rsidRDefault="0006578C" w:rsidP="00957C31">
      <w:pPr>
        <w:pStyle w:val="ListParagraph"/>
        <w:numPr>
          <w:ilvl w:val="0"/>
          <w:numId w:val="53"/>
        </w:numPr>
        <w:autoSpaceDE/>
        <w:autoSpaceDN/>
        <w:adjustRightInd/>
        <w:spacing w:after="160" w:line="259" w:lineRule="auto"/>
        <w:jc w:val="left"/>
        <w:rPr>
          <w:rFonts w:cs="Arial"/>
        </w:rPr>
      </w:pPr>
      <w:r>
        <w:rPr>
          <w:rFonts w:cs="Arial"/>
        </w:rPr>
        <w:t>Engagements through partnerships;</w:t>
      </w:r>
    </w:p>
    <w:p w:rsidR="006B4296" w:rsidRDefault="00944194" w:rsidP="006B4296">
      <w:pPr>
        <w:pStyle w:val="ListParagraph"/>
        <w:autoSpaceDE/>
        <w:autoSpaceDN/>
        <w:adjustRightInd/>
        <w:spacing w:after="160" w:line="259" w:lineRule="auto"/>
        <w:ind w:left="709"/>
        <w:jc w:val="left"/>
        <w:rPr>
          <w:rFonts w:cs="Arial"/>
        </w:rPr>
      </w:pPr>
      <w:r>
        <w:rPr>
          <w:rFonts w:cs="Arial"/>
        </w:rPr>
        <w:t xml:space="preserve">The Fund works in partnership with like-minded bodies.  The Fun recognises that to gain the attention of companies in addressing governance concerns, it needs to join other investors with similar concerns and it does this through its membership of the Local Authority Pension Fund Forum (LAPFF) and by joining appropriate lobbying activities.  This Forum exists to promote the investment interests of local authority pension funds, and to maximise their influence as shareholders to promote corporate social responsibility and high standards of corporate governance among the companies in which they </w:t>
      </w:r>
      <w:r w:rsidR="006B4296">
        <w:rPr>
          <w:rFonts w:cs="Arial"/>
        </w:rPr>
        <w:t xml:space="preserve">invest. </w:t>
      </w:r>
    </w:p>
    <w:p w:rsidR="006B4296" w:rsidRDefault="006B4296" w:rsidP="006B4296">
      <w:pPr>
        <w:pStyle w:val="ListParagraph"/>
        <w:autoSpaceDE/>
        <w:autoSpaceDN/>
        <w:adjustRightInd/>
        <w:spacing w:after="160" w:line="259" w:lineRule="auto"/>
        <w:ind w:left="567"/>
        <w:jc w:val="left"/>
        <w:rPr>
          <w:rFonts w:cs="Arial"/>
        </w:rPr>
      </w:pPr>
    </w:p>
    <w:p w:rsidR="0006578C" w:rsidRPr="006B4296" w:rsidRDefault="006B4296" w:rsidP="00957C31">
      <w:pPr>
        <w:pStyle w:val="ListParagraph"/>
        <w:numPr>
          <w:ilvl w:val="0"/>
          <w:numId w:val="53"/>
        </w:numPr>
        <w:autoSpaceDE/>
        <w:autoSpaceDN/>
        <w:adjustRightInd/>
        <w:spacing w:after="160" w:line="259" w:lineRule="auto"/>
        <w:jc w:val="left"/>
        <w:rPr>
          <w:rFonts w:cs="Arial"/>
        </w:rPr>
      </w:pPr>
      <w:r w:rsidRPr="006B4296">
        <w:rPr>
          <w:rFonts w:cs="Arial"/>
        </w:rPr>
        <w:t>Shareholder</w:t>
      </w:r>
      <w:r w:rsidR="0006578C" w:rsidRPr="006B4296">
        <w:rPr>
          <w:rFonts w:cs="Arial"/>
        </w:rPr>
        <w:t xml:space="preserve"> litigation;</w:t>
      </w:r>
    </w:p>
    <w:p w:rsidR="006B4296" w:rsidRDefault="006B4296" w:rsidP="006B4296">
      <w:pPr>
        <w:pStyle w:val="ListParagraph"/>
        <w:autoSpaceDE/>
        <w:autoSpaceDN/>
        <w:adjustRightInd/>
        <w:spacing w:after="160" w:line="259" w:lineRule="auto"/>
        <w:jc w:val="left"/>
        <w:rPr>
          <w:rFonts w:cs="Arial"/>
        </w:rPr>
      </w:pPr>
      <w:r>
        <w:rPr>
          <w:rFonts w:cs="Arial"/>
        </w:rPr>
        <w:t>The Fund has agreed arrangements with LPPI which ensure emerging legal cases are monitored and that the Funds rights and interests are represented via class actions and other shareholder actions globally where possible and where appropriate.</w:t>
      </w:r>
    </w:p>
    <w:p w:rsidR="006B4296" w:rsidRDefault="006B4296" w:rsidP="006B4296">
      <w:pPr>
        <w:pStyle w:val="ListParagraph"/>
        <w:autoSpaceDE/>
        <w:autoSpaceDN/>
        <w:adjustRightInd/>
        <w:spacing w:after="160" w:line="259" w:lineRule="auto"/>
        <w:jc w:val="left"/>
        <w:rPr>
          <w:rFonts w:cs="Arial"/>
        </w:rPr>
      </w:pPr>
    </w:p>
    <w:p w:rsidR="0006578C" w:rsidRDefault="0006578C" w:rsidP="00957C31">
      <w:pPr>
        <w:pStyle w:val="ListParagraph"/>
        <w:numPr>
          <w:ilvl w:val="0"/>
          <w:numId w:val="53"/>
        </w:numPr>
        <w:autoSpaceDE/>
        <w:autoSpaceDN/>
        <w:adjustRightInd/>
        <w:spacing w:after="160" w:line="259" w:lineRule="auto"/>
        <w:jc w:val="left"/>
        <w:rPr>
          <w:rFonts w:cs="Arial"/>
        </w:rPr>
      </w:pPr>
      <w:r>
        <w:rPr>
          <w:rFonts w:cs="Arial"/>
        </w:rPr>
        <w:t>Active Investing</w:t>
      </w:r>
      <w:r w:rsidR="006B4296">
        <w:rPr>
          <w:rFonts w:cs="Arial"/>
        </w:rPr>
        <w:t>;</w:t>
      </w:r>
    </w:p>
    <w:p w:rsidR="006B4296" w:rsidRPr="0020431D" w:rsidRDefault="006B4296" w:rsidP="0020431D">
      <w:pPr>
        <w:pStyle w:val="ListParagraph"/>
        <w:autoSpaceDE/>
        <w:autoSpaceDN/>
        <w:adjustRightInd/>
        <w:spacing w:after="160" w:line="259" w:lineRule="auto"/>
        <w:jc w:val="left"/>
        <w:rPr>
          <w:rFonts w:ascii="ArialMT" w:eastAsiaTheme="minorHAnsi" w:hAnsi="ArialMT" w:cs="ArialMT"/>
          <w:color w:val="auto"/>
        </w:rPr>
      </w:pPr>
      <w:r>
        <w:rPr>
          <w:rFonts w:cs="Arial"/>
        </w:rPr>
        <w:t xml:space="preserve">The Fund does not invest directly but, on behalf of the Fund, LPPI actively seeks sustainable investments which meet the Fund's </w:t>
      </w:r>
      <w:r w:rsidR="0020431D">
        <w:rPr>
          <w:rFonts w:cs="Arial"/>
        </w:rPr>
        <w:t>requirements</w:t>
      </w:r>
      <w:r>
        <w:rPr>
          <w:rFonts w:cs="Arial"/>
        </w:rPr>
        <w:t xml:space="preserve"> for strong returns combined with best practice in ESG and corporate governance.  Such investments include renewable and clean energy </w:t>
      </w:r>
      <w:r w:rsidR="0020431D">
        <w:rPr>
          <w:rFonts w:cs="Arial"/>
        </w:rPr>
        <w:t>and affordable housing.   As part of its commitment to active investing, LPPI seeks to use the ownership rights conveyed by the assets under its management to exert a positive influence in favour of transparent and sustainable management behaviour, which recognises and addresses the broader trends which bring both risks and opportunities to their business.</w:t>
      </w:r>
    </w:p>
    <w:p w:rsidR="006B4296" w:rsidRPr="006B4296" w:rsidRDefault="0020431D" w:rsidP="0020431D">
      <w:pPr>
        <w:autoSpaceDE/>
        <w:autoSpaceDN/>
        <w:adjustRightInd/>
        <w:spacing w:after="160" w:line="259" w:lineRule="auto"/>
        <w:ind w:left="709"/>
        <w:jc w:val="left"/>
        <w:rPr>
          <w:rFonts w:cs="Arial"/>
        </w:rPr>
      </w:pPr>
      <w:r>
        <w:rPr>
          <w:rFonts w:ascii="ArialMT" w:eastAsiaTheme="minorHAnsi" w:hAnsi="ArialMT" w:cs="ArialMT"/>
          <w:color w:val="auto"/>
        </w:rPr>
        <w:t xml:space="preserve">The Fund does not have any strategic asset allocations in specific areas in relation to RI </w:t>
      </w:r>
      <w:r w:rsidR="005B1DC3">
        <w:rPr>
          <w:rFonts w:ascii="ArialMT" w:eastAsiaTheme="minorHAnsi" w:hAnsi="ArialMT" w:cs="ArialMT"/>
          <w:color w:val="auto"/>
        </w:rPr>
        <w:t xml:space="preserve">and </w:t>
      </w:r>
      <w:r>
        <w:rPr>
          <w:rFonts w:ascii="ArialMT" w:eastAsiaTheme="minorHAnsi" w:hAnsi="ArialMT" w:cs="ArialMT"/>
          <w:color w:val="auto"/>
        </w:rPr>
        <w:t>ESG.  This is reviewed by the investment panel on a 12 monthly basis to ensure it is still appropriate.</w:t>
      </w:r>
    </w:p>
    <w:p w:rsidR="0006578C" w:rsidRPr="0006578C" w:rsidRDefault="0006578C" w:rsidP="00033F98">
      <w:pPr>
        <w:keepNext/>
        <w:keepLines/>
        <w:widowControl w:val="0"/>
        <w:spacing w:after="0" w:line="276" w:lineRule="auto"/>
        <w:rPr>
          <w:rFonts w:eastAsia="Times New Roman" w:cs="Arial"/>
          <w:color w:val="auto"/>
          <w:lang w:eastAsia="en-GB"/>
        </w:rPr>
      </w:pPr>
    </w:p>
    <w:p w:rsidR="00033F98" w:rsidRPr="00033F98" w:rsidRDefault="00033F98" w:rsidP="00033F98">
      <w:pPr>
        <w:widowControl w:val="0"/>
        <w:spacing w:after="0" w:line="276" w:lineRule="auto"/>
        <w:rPr>
          <w:rFonts w:eastAsia="Times New Roman" w:cs="Arial"/>
          <w:color w:val="auto"/>
          <w:lang w:val="en" w:eastAsia="en-GB"/>
        </w:rPr>
      </w:pPr>
    </w:p>
    <w:p w:rsidR="00033F98" w:rsidRPr="00033F98" w:rsidRDefault="00033F98" w:rsidP="00033F98">
      <w:pPr>
        <w:widowControl w:val="0"/>
        <w:spacing w:after="0" w:line="276" w:lineRule="auto"/>
        <w:rPr>
          <w:rFonts w:eastAsia="Times New Roman" w:cs="Arial"/>
          <w:color w:val="auto"/>
          <w:highlight w:val="yellow"/>
          <w:lang w:val="en" w:eastAsia="en-GB"/>
        </w:rPr>
      </w:pPr>
    </w:p>
    <w:p w:rsidR="00033F98" w:rsidRPr="00033F98" w:rsidRDefault="00033F98" w:rsidP="00033F98">
      <w:pPr>
        <w:spacing w:line="276" w:lineRule="auto"/>
        <w:rPr>
          <w:rFonts w:cs="Arial"/>
          <w:b/>
          <w:bCs/>
          <w:color w:val="auto"/>
        </w:rPr>
      </w:pPr>
      <w:bookmarkStart w:id="2" w:name="_Hlk515883663"/>
      <w:r w:rsidRPr="00033F98">
        <w:rPr>
          <w:rFonts w:cs="Arial"/>
          <w:b/>
          <w:bCs/>
        </w:rPr>
        <w:t>Risk Management</w:t>
      </w:r>
    </w:p>
    <w:bookmarkEnd w:id="2"/>
    <w:p w:rsidR="00033F98" w:rsidRPr="00033F98" w:rsidRDefault="00033F98" w:rsidP="00033F98">
      <w:pPr>
        <w:spacing w:line="276" w:lineRule="auto"/>
        <w:rPr>
          <w:rFonts w:cs="Arial"/>
          <w:bCs/>
        </w:rPr>
      </w:pPr>
      <w:r w:rsidRPr="00033F98">
        <w:rPr>
          <w:rFonts w:cs="Arial"/>
          <w:bCs/>
        </w:rPr>
        <w:t>The Lancashire County Pension Fund recognise the importance of managing risks effectively.  To this end, the fund has a risk officer to manage and monitor all risks through effective risk management processes. A central risk register is maintained to identify, record and mitigate all risks under the following four main group headings:</w:t>
      </w:r>
    </w:p>
    <w:p w:rsidR="00950419" w:rsidRPr="00950419" w:rsidRDefault="00950419" w:rsidP="00950419">
      <w:pPr>
        <w:pStyle w:val="ListParagraph"/>
        <w:numPr>
          <w:ilvl w:val="0"/>
          <w:numId w:val="33"/>
        </w:numPr>
        <w:autoSpaceDE/>
        <w:autoSpaceDN/>
        <w:adjustRightInd/>
        <w:spacing w:after="0" w:line="276" w:lineRule="auto"/>
        <w:jc w:val="left"/>
        <w:rPr>
          <w:rFonts w:cs="Arial"/>
        </w:rPr>
      </w:pPr>
      <w:r w:rsidRPr="00950419">
        <w:rPr>
          <w:rFonts w:cs="Arial"/>
        </w:rPr>
        <w:t xml:space="preserve">Investment and Funding Risk – all financial risks associated with the Fund;       </w:t>
      </w:r>
    </w:p>
    <w:p w:rsidR="00950419" w:rsidRPr="00950419" w:rsidRDefault="00950419" w:rsidP="00950419">
      <w:pPr>
        <w:pStyle w:val="ListParagraph"/>
        <w:numPr>
          <w:ilvl w:val="0"/>
          <w:numId w:val="33"/>
        </w:numPr>
        <w:autoSpaceDE/>
        <w:autoSpaceDN/>
        <w:adjustRightInd/>
        <w:spacing w:after="0" w:line="276" w:lineRule="auto"/>
        <w:jc w:val="left"/>
        <w:rPr>
          <w:rFonts w:cs="Arial"/>
          <w:lang w:eastAsia="en-GB"/>
        </w:rPr>
      </w:pPr>
      <w:r w:rsidRPr="00950419">
        <w:rPr>
          <w:rFonts w:cs="Arial"/>
        </w:rPr>
        <w:lastRenderedPageBreak/>
        <w:t>Member risk – all risks which may impact on the high levels of service the fund members receive;</w:t>
      </w:r>
    </w:p>
    <w:p w:rsidR="00950419" w:rsidRPr="00950419" w:rsidRDefault="00950419" w:rsidP="00950419">
      <w:pPr>
        <w:pStyle w:val="ListParagraph"/>
        <w:numPr>
          <w:ilvl w:val="0"/>
          <w:numId w:val="33"/>
        </w:numPr>
        <w:autoSpaceDE/>
        <w:autoSpaceDN/>
        <w:adjustRightInd/>
        <w:spacing w:after="0" w:line="276" w:lineRule="auto"/>
        <w:jc w:val="left"/>
        <w:rPr>
          <w:rFonts w:cs="Arial"/>
        </w:rPr>
      </w:pPr>
      <w:r w:rsidRPr="00950419">
        <w:rPr>
          <w:rFonts w:cs="Arial"/>
        </w:rPr>
        <w:t>Operational risk – risks which could negatively impact the smooth and effective running of all aspects of Fund operations and governance;</w:t>
      </w:r>
    </w:p>
    <w:p w:rsidR="00950419" w:rsidRPr="00950419" w:rsidRDefault="00950419" w:rsidP="00950419">
      <w:pPr>
        <w:pStyle w:val="ListParagraph"/>
        <w:numPr>
          <w:ilvl w:val="0"/>
          <w:numId w:val="33"/>
        </w:numPr>
        <w:autoSpaceDE/>
        <w:autoSpaceDN/>
        <w:adjustRightInd/>
        <w:spacing w:after="0" w:line="276" w:lineRule="auto"/>
        <w:jc w:val="left"/>
        <w:rPr>
          <w:rFonts w:cs="Arial"/>
        </w:rPr>
      </w:pPr>
      <w:r w:rsidRPr="00950419">
        <w:rPr>
          <w:rFonts w:cs="Arial"/>
        </w:rPr>
        <w:t>Transition risk – the temporary risks associated with change.  Once the change is embedded, the risk lies in one of the other categories above.</w:t>
      </w:r>
    </w:p>
    <w:p w:rsidR="00033F98" w:rsidRPr="00033F98" w:rsidRDefault="00033F98" w:rsidP="00033F98">
      <w:pPr>
        <w:spacing w:line="276" w:lineRule="auto"/>
        <w:ind w:left="720"/>
        <w:rPr>
          <w:rFonts w:cs="Arial"/>
          <w:bCs/>
        </w:rPr>
      </w:pPr>
    </w:p>
    <w:p w:rsidR="00033F98" w:rsidRPr="00033F98" w:rsidRDefault="00033F98" w:rsidP="00033F98">
      <w:pPr>
        <w:spacing w:line="276" w:lineRule="auto"/>
        <w:rPr>
          <w:rFonts w:cs="Arial"/>
          <w:bCs/>
        </w:rPr>
      </w:pPr>
      <w:r w:rsidRPr="00033F98">
        <w:rPr>
          <w:rFonts w:cs="Arial"/>
          <w:bCs/>
        </w:rPr>
        <w:t>Risk management and monitoring is also supported by service level agreements with Local Pensions Partnership, who provides analysis and reporting across the four main groups above.</w:t>
      </w:r>
    </w:p>
    <w:p w:rsidR="00033F98" w:rsidRPr="00033F98" w:rsidRDefault="00033F98" w:rsidP="00033F98">
      <w:pPr>
        <w:spacing w:line="276" w:lineRule="auto"/>
        <w:rPr>
          <w:rFonts w:cs="Arial"/>
          <w:bCs/>
        </w:rPr>
      </w:pPr>
      <w:r w:rsidRPr="00033F98">
        <w:rPr>
          <w:rFonts w:cs="Arial"/>
          <w:bCs/>
        </w:rPr>
        <w:t>Risk reporting is carried out each quarter to the Lancashire Pension Fund Committee.  Additional oversight is also undertaken by the Lancashire Pension Board.</w:t>
      </w:r>
    </w:p>
    <w:p w:rsidR="00033F98" w:rsidRPr="00033F98" w:rsidRDefault="00033F98" w:rsidP="00033F98">
      <w:pPr>
        <w:widowControl w:val="0"/>
        <w:spacing w:after="0" w:line="276" w:lineRule="auto"/>
        <w:rPr>
          <w:rFonts w:eastAsia="Times New Roman" w:cs="Arial"/>
          <w:highlight w:val="yellow"/>
          <w:lang w:val="en" w:eastAsia="en-GB"/>
        </w:rPr>
      </w:pPr>
    </w:p>
    <w:p w:rsidR="00033F98" w:rsidRPr="00033F98" w:rsidRDefault="00033F98" w:rsidP="00033F98">
      <w:pPr>
        <w:keepNext/>
        <w:keepLines/>
        <w:widowControl w:val="0"/>
        <w:spacing w:after="0" w:line="276" w:lineRule="auto"/>
        <w:rPr>
          <w:rFonts w:eastAsia="Times New Roman" w:cs="Arial"/>
          <w:color w:val="FF0000"/>
          <w:lang w:val="en" w:eastAsia="en-GB"/>
        </w:rPr>
      </w:pPr>
      <w:r w:rsidRPr="00033F98">
        <w:rPr>
          <w:rFonts w:eastAsia="Times New Roman" w:cs="Arial"/>
          <w:b/>
          <w:color w:val="auto"/>
          <w:lang w:eastAsia="en-GB"/>
        </w:rPr>
        <w:t>Compliance with Myners Principles</w:t>
      </w:r>
    </w:p>
    <w:p w:rsidR="00033F98" w:rsidRPr="00033F98" w:rsidRDefault="00033F98" w:rsidP="00033F98">
      <w:pPr>
        <w:widowControl w:val="0"/>
        <w:spacing w:after="0" w:line="276" w:lineRule="auto"/>
        <w:rPr>
          <w:rFonts w:cs="Arial"/>
        </w:rPr>
      </w:pPr>
      <w:r w:rsidRPr="00033F98">
        <w:rPr>
          <w:rFonts w:eastAsia="Times New Roman" w:cs="Arial"/>
          <w:color w:val="auto"/>
          <w:lang w:val="en" w:eastAsia="en-GB"/>
        </w:rPr>
        <w:t xml:space="preserve">The Fund is compliant with the Myners Principles, details of which can be found in the </w:t>
      </w:r>
      <w:r w:rsidR="00624BD7">
        <w:t>Investment Strategy Statement.</w:t>
      </w:r>
    </w:p>
    <w:p w:rsidR="00FF6F6A" w:rsidRPr="00033F98" w:rsidRDefault="00FF6F6A" w:rsidP="00FF6F6A">
      <w:pPr>
        <w:widowControl w:val="0"/>
        <w:spacing w:after="0"/>
        <w:jc w:val="left"/>
        <w:rPr>
          <w:rFonts w:eastAsiaTheme="minorEastAsia" w:cs="Arial"/>
          <w:color w:val="0000FF"/>
          <w:u w:val="single"/>
          <w:lang w:val="en" w:eastAsia="en-GB"/>
        </w:rPr>
      </w:pPr>
    </w:p>
    <w:p w:rsidR="00FF6F6A" w:rsidRPr="00033F98" w:rsidRDefault="00FF6F6A" w:rsidP="00FF6F6A">
      <w:pPr>
        <w:rPr>
          <w:rFonts w:cs="Arial"/>
          <w:b/>
        </w:rPr>
      </w:pPr>
    </w:p>
    <w:p w:rsidR="00FF6F6A" w:rsidRPr="00033F98" w:rsidRDefault="00FF6F6A" w:rsidP="00FF6F6A">
      <w:pPr>
        <w:rPr>
          <w:rFonts w:cs="Arial"/>
          <w:b/>
        </w:rPr>
      </w:pPr>
    </w:p>
    <w:p w:rsidR="00FF6F6A" w:rsidRDefault="00FF6F6A" w:rsidP="00FF6F6A">
      <w:pPr>
        <w:rPr>
          <w:b/>
          <w:sz w:val="32"/>
          <w:szCs w:val="32"/>
        </w:rPr>
      </w:pPr>
    </w:p>
    <w:p w:rsidR="00FF6F6A" w:rsidRDefault="0023599A">
      <w:pPr>
        <w:autoSpaceDE/>
        <w:autoSpaceDN/>
        <w:adjustRightInd/>
        <w:spacing w:after="160" w:line="259" w:lineRule="auto"/>
        <w:jc w:val="left"/>
        <w:rPr>
          <w:b/>
          <w:sz w:val="32"/>
          <w:szCs w:val="32"/>
        </w:rPr>
      </w:pPr>
      <w:r>
        <w:rPr>
          <w:b/>
          <w:sz w:val="32"/>
          <w:szCs w:val="32"/>
        </w:rPr>
        <w:br w:type="page"/>
      </w:r>
    </w:p>
    <w:p w:rsidR="00FF6F6A" w:rsidRPr="00361292" w:rsidRDefault="0023599A" w:rsidP="00FF6F6A">
      <w:pPr>
        <w:rPr>
          <w:b/>
          <w:sz w:val="32"/>
          <w:szCs w:val="32"/>
        </w:rPr>
      </w:pPr>
      <w:r>
        <w:rPr>
          <w:b/>
          <w:sz w:val="32"/>
          <w:szCs w:val="32"/>
        </w:rPr>
        <w:lastRenderedPageBreak/>
        <w:t>G</w:t>
      </w:r>
      <w:r w:rsidRPr="00361292">
        <w:rPr>
          <w:b/>
          <w:sz w:val="32"/>
          <w:szCs w:val="32"/>
        </w:rPr>
        <w:t xml:space="preserve">   Accounts of the Fund</w:t>
      </w:r>
    </w:p>
    <w:p w:rsidR="00D66945" w:rsidRPr="007828C4" w:rsidRDefault="00D66945" w:rsidP="00D66945">
      <w:pPr>
        <w:rPr>
          <w:rFonts w:eastAsia="Arial Unicode MS" w:cs="Arial"/>
          <w:b/>
          <w:szCs w:val="22"/>
        </w:rPr>
      </w:pPr>
    </w:p>
    <w:p w:rsidR="00D66945" w:rsidRPr="007828C4" w:rsidRDefault="00D66945" w:rsidP="00D66945">
      <w:pPr>
        <w:rPr>
          <w:rFonts w:eastAsia="Arial Unicode MS" w:cs="Arial"/>
          <w:b/>
          <w:sz w:val="32"/>
          <w:szCs w:val="22"/>
        </w:rPr>
      </w:pPr>
      <w:r w:rsidRPr="007828C4">
        <w:rPr>
          <w:rFonts w:eastAsia="Arial Unicode MS" w:cs="Arial"/>
          <w:b/>
          <w:sz w:val="32"/>
          <w:szCs w:val="22"/>
        </w:rPr>
        <w:t>Responsibilities for the Statement of Accounts</w:t>
      </w:r>
    </w:p>
    <w:p w:rsidR="00D66945" w:rsidRPr="007828C4" w:rsidRDefault="00D66945" w:rsidP="00D66945">
      <w:pPr>
        <w:rPr>
          <w:rFonts w:eastAsia="Arial Unicode MS" w:cs="Arial"/>
          <w:b/>
          <w:szCs w:val="22"/>
        </w:rPr>
      </w:pPr>
    </w:p>
    <w:p w:rsidR="00D66945" w:rsidRPr="007828C4" w:rsidRDefault="00D66945" w:rsidP="00D66945">
      <w:pPr>
        <w:keepNext/>
        <w:outlineLvl w:val="3"/>
        <w:rPr>
          <w:rFonts w:eastAsia="Arial Unicode MS" w:cs="Arial"/>
          <w:b/>
          <w:snapToGrid w:val="0"/>
          <w:sz w:val="32"/>
          <w:szCs w:val="22"/>
        </w:rPr>
      </w:pPr>
      <w:r w:rsidRPr="007828C4">
        <w:rPr>
          <w:rFonts w:eastAsia="Arial Unicode MS" w:cs="Arial"/>
          <w:b/>
          <w:snapToGrid w:val="0"/>
          <w:sz w:val="32"/>
          <w:szCs w:val="22"/>
        </w:rPr>
        <w:t>The responsibilities of the administering authority</w:t>
      </w:r>
    </w:p>
    <w:p w:rsidR="00D66945" w:rsidRPr="007828C4" w:rsidRDefault="00D66945" w:rsidP="00D66945">
      <w:pPr>
        <w:keepNext/>
        <w:outlineLvl w:val="3"/>
        <w:rPr>
          <w:rFonts w:eastAsia="Arial Unicode MS" w:cs="Arial"/>
          <w:b/>
          <w:snapToGrid w:val="0"/>
          <w:sz w:val="1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The administering authority is required:</w:t>
      </w:r>
    </w:p>
    <w:p w:rsidR="00D66945" w:rsidRPr="007828C4" w:rsidRDefault="00D66945" w:rsidP="00D66945">
      <w:pPr>
        <w:pStyle w:val="ListParagraph"/>
        <w:numPr>
          <w:ilvl w:val="0"/>
          <w:numId w:val="29"/>
        </w:numPr>
        <w:contextualSpacing w:val="0"/>
        <w:rPr>
          <w:rFonts w:eastAsia="Arial Unicode MS" w:cs="Arial"/>
          <w:sz w:val="22"/>
          <w:szCs w:val="22"/>
        </w:rPr>
      </w:pPr>
      <w:r w:rsidRPr="007828C4">
        <w:rPr>
          <w:rFonts w:eastAsia="Arial Unicode MS" w:cs="Arial"/>
          <w:sz w:val="22"/>
          <w:szCs w:val="22"/>
        </w:rPr>
        <w:t xml:space="preserve">To make arrangements for the proper administration of the financial affairs of the Lancashire County Pension Fund (Pension Fund), and to ensure that an officer has the responsibility for the administration of those affairs.  For Lancashire County Council, the respective officer is the </w:t>
      </w:r>
      <w:r>
        <w:rPr>
          <w:rFonts w:eastAsia="Arial Unicode MS" w:cs="Arial"/>
          <w:sz w:val="22"/>
          <w:szCs w:val="22"/>
        </w:rPr>
        <w:t>Chief Executive and Director of Resources</w:t>
      </w:r>
      <w:r w:rsidRPr="007828C4">
        <w:rPr>
          <w:rFonts w:eastAsia="Arial Unicode MS" w:cs="Arial"/>
          <w:sz w:val="22"/>
          <w:szCs w:val="22"/>
        </w:rPr>
        <w:t>, who is also the Director of Financial Resources to the Pension Fund;</w:t>
      </w:r>
    </w:p>
    <w:p w:rsidR="00D66945" w:rsidRPr="007828C4" w:rsidRDefault="00D66945" w:rsidP="00D66945">
      <w:pPr>
        <w:pStyle w:val="ListParagraph"/>
        <w:numPr>
          <w:ilvl w:val="0"/>
          <w:numId w:val="29"/>
        </w:numPr>
        <w:spacing w:after="0"/>
        <w:contextualSpacing w:val="0"/>
        <w:rPr>
          <w:rFonts w:eastAsia="Arial Unicode MS" w:cs="Arial"/>
          <w:sz w:val="22"/>
          <w:szCs w:val="22"/>
        </w:rPr>
      </w:pPr>
      <w:r w:rsidRPr="007828C4">
        <w:rPr>
          <w:rFonts w:eastAsia="Arial Unicode MS" w:cs="Arial"/>
          <w:sz w:val="22"/>
          <w:szCs w:val="22"/>
        </w:rPr>
        <w:t>To manage its affairs to secure economic, efficient and effective use of resources, and to safeguard its assets.</w:t>
      </w:r>
    </w:p>
    <w:p w:rsidR="00D66945" w:rsidRPr="007828C4" w:rsidRDefault="00D66945" w:rsidP="00D66945">
      <w:pPr>
        <w:ind w:left="360"/>
        <w:rPr>
          <w:rFonts w:eastAsia="Arial Unicode MS" w:cs="Arial"/>
          <w:sz w:val="22"/>
          <w:szCs w:val="22"/>
        </w:rPr>
      </w:pPr>
    </w:p>
    <w:p w:rsidR="00D66945" w:rsidRPr="007828C4" w:rsidRDefault="00D66945" w:rsidP="00D66945">
      <w:pPr>
        <w:keepNext/>
        <w:outlineLvl w:val="3"/>
        <w:rPr>
          <w:rFonts w:eastAsia="Arial Unicode MS" w:cs="Arial"/>
          <w:b/>
          <w:snapToGrid w:val="0"/>
          <w:sz w:val="32"/>
          <w:szCs w:val="22"/>
        </w:rPr>
      </w:pPr>
      <w:r w:rsidRPr="007828C4">
        <w:rPr>
          <w:rFonts w:eastAsia="Arial Unicode MS" w:cs="Arial"/>
          <w:b/>
          <w:snapToGrid w:val="0"/>
          <w:sz w:val="32"/>
          <w:szCs w:val="22"/>
        </w:rPr>
        <w:t>The responsibilities of the Director of Financial Resources to the Pension Fund</w:t>
      </w:r>
    </w:p>
    <w:p w:rsidR="00D66945" w:rsidRPr="007828C4" w:rsidRDefault="00D66945" w:rsidP="00D66945">
      <w:pPr>
        <w:keepNext/>
        <w:outlineLvl w:val="3"/>
        <w:rPr>
          <w:rFonts w:eastAsia="Arial Unicode MS" w:cs="Arial"/>
          <w:b/>
          <w:snapToGrid w:val="0"/>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The Director of Financial Resources to the Pension Fund is responsible for the preparation of the Pension Fund’s statement of accounts.  In accordance with the CIPFA Code of Practice on Local Authority Accounting in Great Britain (the Code), the statement is required to present fairly the financial position of the Pension Fund at the accounting date, and its income and expenditure for the year then ended.</w:t>
      </w: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In preparing this statement of accounts, the Director of Financial Resources to the Pension Fund has:</w:t>
      </w:r>
    </w:p>
    <w:p w:rsidR="00D66945" w:rsidRPr="007828C4" w:rsidRDefault="00D66945" w:rsidP="00D66945">
      <w:pPr>
        <w:pStyle w:val="ListParagraph"/>
        <w:numPr>
          <w:ilvl w:val="0"/>
          <w:numId w:val="30"/>
        </w:numPr>
        <w:contextualSpacing w:val="0"/>
        <w:rPr>
          <w:rFonts w:eastAsia="Arial Unicode MS" w:cs="Arial"/>
          <w:sz w:val="22"/>
          <w:szCs w:val="22"/>
        </w:rPr>
      </w:pPr>
      <w:r w:rsidRPr="007828C4">
        <w:rPr>
          <w:rFonts w:eastAsia="Arial Unicode MS" w:cs="Arial"/>
          <w:sz w:val="22"/>
          <w:szCs w:val="22"/>
        </w:rPr>
        <w:t>Selected suitable accounting policies and then applied them consistently;</w:t>
      </w:r>
    </w:p>
    <w:p w:rsidR="00D66945" w:rsidRPr="007828C4" w:rsidRDefault="00D66945" w:rsidP="00D66945">
      <w:pPr>
        <w:pStyle w:val="ListParagraph"/>
        <w:numPr>
          <w:ilvl w:val="0"/>
          <w:numId w:val="30"/>
        </w:numPr>
        <w:contextualSpacing w:val="0"/>
        <w:rPr>
          <w:rFonts w:eastAsia="Arial Unicode MS" w:cs="Arial"/>
          <w:sz w:val="22"/>
          <w:szCs w:val="22"/>
        </w:rPr>
      </w:pPr>
      <w:r w:rsidRPr="007828C4">
        <w:rPr>
          <w:rFonts w:eastAsia="Arial Unicode MS" w:cs="Arial"/>
          <w:sz w:val="22"/>
          <w:szCs w:val="22"/>
        </w:rPr>
        <w:t>Made judgements and estimates that were reasonable and prudent;</w:t>
      </w:r>
    </w:p>
    <w:p w:rsidR="00D66945" w:rsidRPr="007828C4" w:rsidRDefault="00D66945" w:rsidP="00D66945">
      <w:pPr>
        <w:pStyle w:val="ListParagraph"/>
        <w:numPr>
          <w:ilvl w:val="0"/>
          <w:numId w:val="30"/>
        </w:numPr>
        <w:contextualSpacing w:val="0"/>
        <w:rPr>
          <w:rFonts w:eastAsia="Arial Unicode MS" w:cs="Arial"/>
          <w:sz w:val="22"/>
          <w:szCs w:val="22"/>
        </w:rPr>
      </w:pPr>
      <w:r w:rsidRPr="007828C4">
        <w:rPr>
          <w:rFonts w:eastAsia="Arial Unicode MS" w:cs="Arial"/>
          <w:sz w:val="22"/>
          <w:szCs w:val="22"/>
        </w:rPr>
        <w:t>Complied with the Code.</w:t>
      </w: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In addition, the Director of Financial Resources to the Pension Fund has:</w:t>
      </w:r>
    </w:p>
    <w:p w:rsidR="00D66945" w:rsidRPr="007828C4" w:rsidRDefault="00D66945" w:rsidP="00D66945">
      <w:pPr>
        <w:pStyle w:val="ListParagraph"/>
        <w:numPr>
          <w:ilvl w:val="0"/>
          <w:numId w:val="31"/>
        </w:numPr>
        <w:contextualSpacing w:val="0"/>
        <w:rPr>
          <w:rFonts w:eastAsia="Arial Unicode MS" w:cs="Arial"/>
          <w:sz w:val="22"/>
          <w:szCs w:val="22"/>
        </w:rPr>
      </w:pPr>
      <w:r w:rsidRPr="007828C4">
        <w:rPr>
          <w:rFonts w:eastAsia="Arial Unicode MS" w:cs="Arial"/>
          <w:sz w:val="22"/>
          <w:szCs w:val="22"/>
        </w:rPr>
        <w:t>Kept proper accounting records which were up to date;</w:t>
      </w:r>
    </w:p>
    <w:p w:rsidR="00D66945" w:rsidRPr="007828C4" w:rsidRDefault="00D66945" w:rsidP="00D66945">
      <w:pPr>
        <w:pStyle w:val="ListParagraph"/>
        <w:numPr>
          <w:ilvl w:val="0"/>
          <w:numId w:val="31"/>
        </w:numPr>
        <w:spacing w:after="0"/>
        <w:contextualSpacing w:val="0"/>
        <w:rPr>
          <w:rFonts w:eastAsia="Arial Unicode MS" w:cs="Arial"/>
          <w:sz w:val="22"/>
          <w:szCs w:val="22"/>
        </w:rPr>
      </w:pPr>
      <w:r w:rsidRPr="007828C4">
        <w:rPr>
          <w:rFonts w:eastAsia="Arial Unicode MS" w:cs="Arial"/>
          <w:sz w:val="22"/>
          <w:szCs w:val="22"/>
        </w:rPr>
        <w:t>Taken responsible steps for the prevention and detection of fraud and other irregularities.</w:t>
      </w:r>
    </w:p>
    <w:p w:rsidR="00D66945" w:rsidRPr="007828C4" w:rsidRDefault="00D66945" w:rsidP="00D66945">
      <w:pPr>
        <w:pStyle w:val="ListParagraph"/>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The Statement of Accounts relate to the financial year ended 31 March 201</w:t>
      </w:r>
      <w:r>
        <w:rPr>
          <w:rFonts w:eastAsia="Arial Unicode MS" w:cs="Arial"/>
          <w:sz w:val="22"/>
          <w:szCs w:val="22"/>
        </w:rPr>
        <w:t>8</w:t>
      </w:r>
      <w:r w:rsidRPr="007828C4">
        <w:rPr>
          <w:rFonts w:eastAsia="Arial Unicode MS" w:cs="Arial"/>
          <w:sz w:val="22"/>
          <w:szCs w:val="22"/>
        </w:rPr>
        <w:t xml:space="preserve"> and include the Fund Account and the Statement of Net Assets which are prepared in accordance with standard accounting practice as outlined in the notes to the accounts of the Pension Fund.</w:t>
      </w: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b/>
          <w:sz w:val="22"/>
          <w:szCs w:val="22"/>
        </w:rPr>
      </w:pPr>
      <w:r>
        <w:rPr>
          <w:rFonts w:eastAsia="Arial Unicode MS" w:cs="Arial"/>
          <w:b/>
          <w:sz w:val="22"/>
          <w:szCs w:val="22"/>
        </w:rPr>
        <w:t>Angie Ridgwell</w:t>
      </w:r>
    </w:p>
    <w:p w:rsidR="00D66945" w:rsidRPr="007828C4" w:rsidRDefault="00D66945" w:rsidP="00D66945">
      <w:pPr>
        <w:rPr>
          <w:rFonts w:eastAsia="Arial Unicode MS" w:cs="Arial"/>
        </w:rPr>
      </w:pPr>
      <w:r>
        <w:rPr>
          <w:rFonts w:eastAsia="Arial Unicode MS" w:cs="Arial"/>
          <w:b/>
          <w:sz w:val="22"/>
          <w:szCs w:val="22"/>
        </w:rPr>
        <w:t>Chief Executive and Director of Resources (S151)</w:t>
      </w:r>
    </w:p>
    <w:p w:rsidR="00D66945" w:rsidRPr="007828C4" w:rsidRDefault="00D66945" w:rsidP="00D66945">
      <w:pPr>
        <w:rPr>
          <w:rFonts w:eastAsia="Arial Unicode MS" w:cs="Arial"/>
          <w:b/>
          <w:sz w:val="22"/>
          <w:szCs w:val="22"/>
        </w:rPr>
      </w:pPr>
      <w:r>
        <w:rPr>
          <w:rFonts w:eastAsia="Arial Unicode MS" w:cs="Arial"/>
          <w:b/>
          <w:sz w:val="22"/>
          <w:szCs w:val="22"/>
        </w:rPr>
        <w:t>22 May 2018</w:t>
      </w:r>
    </w:p>
    <w:p w:rsidR="00D66945" w:rsidRPr="007828C4" w:rsidRDefault="00D66945" w:rsidP="00D66945">
      <w:pPr>
        <w:rPr>
          <w:rFonts w:eastAsia="Arial Unicode MS" w:cs="Arial"/>
          <w:b/>
          <w:sz w:val="22"/>
          <w:szCs w:val="22"/>
        </w:rPr>
      </w:pPr>
    </w:p>
    <w:p w:rsidR="00D66945" w:rsidRPr="000E0BBC" w:rsidRDefault="00D66945" w:rsidP="00D66945">
      <w:pPr>
        <w:rPr>
          <w:rFonts w:cs="Arial"/>
          <w:b/>
          <w:sz w:val="32"/>
          <w:szCs w:val="32"/>
        </w:rPr>
      </w:pPr>
      <w:r w:rsidRPr="000E0BBC">
        <w:rPr>
          <w:rFonts w:cs="Arial"/>
          <w:b/>
          <w:sz w:val="32"/>
          <w:szCs w:val="32"/>
        </w:rPr>
        <w:lastRenderedPageBreak/>
        <w:t xml:space="preserve">Lancashire County Pension Fund – </w:t>
      </w:r>
    </w:p>
    <w:p w:rsidR="00D66945" w:rsidRPr="000E0BBC" w:rsidRDefault="00D66945" w:rsidP="00D66945">
      <w:pPr>
        <w:pBdr>
          <w:bottom w:val="single" w:sz="12" w:space="1" w:color="auto"/>
        </w:pBdr>
        <w:rPr>
          <w:rFonts w:cs="Arial"/>
          <w:b/>
          <w:sz w:val="32"/>
          <w:szCs w:val="32"/>
        </w:rPr>
      </w:pPr>
      <w:r w:rsidRPr="000E0BBC">
        <w:rPr>
          <w:rFonts w:cs="Arial"/>
          <w:b/>
          <w:sz w:val="32"/>
          <w:szCs w:val="32"/>
        </w:rPr>
        <w:t>Annual Governance Statement 2017/18</w:t>
      </w:r>
    </w:p>
    <w:p w:rsidR="00D66945" w:rsidRPr="000E0BBC" w:rsidRDefault="00D66945" w:rsidP="00D66945">
      <w:pPr>
        <w:rPr>
          <w:rFonts w:cs="Arial"/>
          <w:b/>
          <w:sz w:val="22"/>
          <w:szCs w:val="22"/>
        </w:rPr>
      </w:pPr>
      <w:r w:rsidRPr="000E0BBC">
        <w:rPr>
          <w:rFonts w:cs="Arial"/>
          <w:b/>
          <w:i/>
          <w:sz w:val="22"/>
          <w:szCs w:val="22"/>
        </w:rPr>
        <w:t>Introduction</w:t>
      </w:r>
    </w:p>
    <w:p w:rsidR="00D66945" w:rsidRPr="000E0BBC" w:rsidRDefault="00D66945" w:rsidP="00D66945">
      <w:pPr>
        <w:rPr>
          <w:rFonts w:cs="Arial"/>
          <w:sz w:val="22"/>
          <w:szCs w:val="22"/>
        </w:rPr>
      </w:pPr>
      <w:r w:rsidRPr="000E0BBC">
        <w:rPr>
          <w:rFonts w:cs="Arial"/>
          <w:sz w:val="22"/>
          <w:szCs w:val="22"/>
        </w:rPr>
        <w:t>The Lancashire County Pension Fund is a Pension Fund within the Local Government Pension Scheme (LGPS) which is a funded pension scheme created under the terms of the Superannuation Act 1972. Lancashire County Council is the body appointed under statute to act as the Administering Authority for the Fund.</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At 31</w:t>
      </w:r>
      <w:r w:rsidRPr="000E0BBC">
        <w:rPr>
          <w:rFonts w:cs="Arial"/>
          <w:sz w:val="22"/>
          <w:szCs w:val="22"/>
          <w:vertAlign w:val="superscript"/>
        </w:rPr>
        <w:t>st</w:t>
      </w:r>
      <w:r w:rsidRPr="000E0BBC">
        <w:rPr>
          <w:rFonts w:cs="Arial"/>
          <w:sz w:val="22"/>
          <w:szCs w:val="22"/>
        </w:rPr>
        <w:t xml:space="preserve"> March 2018 the Lancashire County Pension Fund provides a means of pension saving and retirement security for 172,074 members across </w:t>
      </w:r>
      <w:r>
        <w:rPr>
          <w:rFonts w:cs="Arial"/>
          <w:sz w:val="22"/>
          <w:szCs w:val="22"/>
        </w:rPr>
        <w:t>287</w:t>
      </w:r>
      <w:r w:rsidRPr="000E0BBC">
        <w:rPr>
          <w:rFonts w:cs="Arial"/>
          <w:sz w:val="22"/>
          <w:szCs w:val="22"/>
        </w:rPr>
        <w:t xml:space="preserve"> organisations with active members and a range of other organisations with only deferred or pensioner members. </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While the Fund is technically not a separate legal entity it does have its own specific governance arrangements and controls which sit within Lancashire County Council's overall governance framework. Given both the scale of the Pension Fund and the very different nature of its operations from those of Lancashire County Council more generally it is appropriate to conduct a separate annual review of the governance arrangements of the Pension Fund and this statement sets out that review.</w:t>
      </w:r>
    </w:p>
    <w:p w:rsidR="00D66945" w:rsidRPr="000E0BBC" w:rsidRDefault="00D66945" w:rsidP="00D66945">
      <w:pPr>
        <w:rPr>
          <w:rFonts w:cs="Arial"/>
          <w:sz w:val="22"/>
          <w:szCs w:val="22"/>
        </w:rPr>
      </w:pPr>
    </w:p>
    <w:p w:rsidR="00D66945" w:rsidRPr="000E0BBC" w:rsidRDefault="00D66945" w:rsidP="00D66945">
      <w:pPr>
        <w:rPr>
          <w:rFonts w:cs="Arial"/>
          <w:b/>
          <w:i/>
          <w:sz w:val="22"/>
          <w:szCs w:val="22"/>
        </w:rPr>
      </w:pPr>
      <w:r w:rsidRPr="000E0BBC">
        <w:rPr>
          <w:rFonts w:cs="Arial"/>
          <w:b/>
          <w:i/>
          <w:sz w:val="22"/>
          <w:szCs w:val="22"/>
        </w:rPr>
        <w:t>The Pension Fund's Responsibilities</w:t>
      </w:r>
    </w:p>
    <w:p w:rsidR="00D66945" w:rsidRPr="000E0BBC" w:rsidRDefault="00D66945" w:rsidP="00D66945">
      <w:pPr>
        <w:rPr>
          <w:rFonts w:cs="Arial"/>
          <w:sz w:val="22"/>
          <w:szCs w:val="22"/>
        </w:rPr>
      </w:pPr>
      <w:r w:rsidRPr="000E0BBC">
        <w:rPr>
          <w:rFonts w:cs="Arial"/>
          <w:sz w:val="22"/>
          <w:szCs w:val="22"/>
        </w:rPr>
        <w:t>The Pension Fund is responsible for ensuring that its business is conducted in accordance with the law and proper standards and that what is, in effect, pensioners' money provided in large part from the public purse is safeguarded and properly accounted for. The Fund has a responsibility under local government legislation to make arrangements which secure continuous improvement in the way in which its functions are delivered.</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In discharging this overall responsibility the Pension Fund is responsible for putting in place proper arrangements for the governance of its affairs and facilitating the effective exercise of its functions including arrangements for the management of risk.</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The Fund has adopted its own Governance Policy Statement in line with the relevant regulations concerning the governance of funds within the LGPS. This statement has regard to relevant standards such as the Myners' principles. The Governance Policy Statement is available through the following link</w:t>
      </w:r>
    </w:p>
    <w:p w:rsidR="00D66945" w:rsidRPr="000E0BBC" w:rsidRDefault="001A4667" w:rsidP="00D66945">
      <w:pPr>
        <w:rPr>
          <w:rFonts w:cs="Arial"/>
          <w:sz w:val="22"/>
          <w:szCs w:val="22"/>
        </w:rPr>
      </w:pPr>
      <w:hyperlink r:id="rId25" w:history="1">
        <w:r w:rsidR="00D66945" w:rsidRPr="000E0BBC">
          <w:rPr>
            <w:rStyle w:val="Hyperlink"/>
            <w:sz w:val="22"/>
            <w:szCs w:val="22"/>
          </w:rPr>
          <w:t>http://www.yourpensionservice.org.uk/local_government/index.asp?siteid=5921&amp;pageid=33736&amp;e=e</w:t>
        </w:r>
      </w:hyperlink>
      <w:r w:rsidR="00D66945" w:rsidRPr="000E0BBC">
        <w:rPr>
          <w:rFonts w:cs="Arial"/>
          <w:sz w:val="22"/>
          <w:szCs w:val="22"/>
        </w:rPr>
        <w:t xml:space="preserve"> </w:t>
      </w:r>
    </w:p>
    <w:p w:rsidR="00D66945" w:rsidRPr="000E0BBC" w:rsidRDefault="00D66945" w:rsidP="00D66945">
      <w:pPr>
        <w:rPr>
          <w:rFonts w:cs="Arial"/>
          <w:sz w:val="22"/>
          <w:szCs w:val="22"/>
        </w:rPr>
      </w:pPr>
    </w:p>
    <w:p w:rsidR="00D66945" w:rsidRPr="000E0BBC" w:rsidRDefault="00D66945" w:rsidP="00D66945">
      <w:pPr>
        <w:outlineLvl w:val="0"/>
        <w:rPr>
          <w:rFonts w:cs="Arial"/>
          <w:sz w:val="22"/>
          <w:szCs w:val="22"/>
        </w:rPr>
      </w:pPr>
      <w:r w:rsidRPr="000E0BBC">
        <w:rPr>
          <w:rFonts w:cs="Arial"/>
          <w:sz w:val="22"/>
          <w:szCs w:val="22"/>
        </w:rPr>
        <w:t>In addition the operation of the Fund is subject to Lancashire County Council's Code of Corporate Governance.   The County Council's Annual Governance Statement is prepared in accordance with the Framework prepared by CIPFA/Solace "Delivering Good Governance in Local Government" (2016 edition). The Framework defines the 7 core principles that should underpin the governance of each local authority namely:</w:t>
      </w:r>
    </w:p>
    <w:p w:rsidR="00D66945" w:rsidRPr="000E0BBC" w:rsidRDefault="00D66945" w:rsidP="00D66945">
      <w:pPr>
        <w:outlineLvl w:val="0"/>
        <w:rPr>
          <w:rFonts w:cs="Arial"/>
          <w:sz w:val="22"/>
          <w:szCs w:val="22"/>
        </w:rPr>
      </w:pPr>
    </w:p>
    <w:p w:rsidR="00D66945" w:rsidRPr="000E0BBC" w:rsidRDefault="00D66945" w:rsidP="00D66945">
      <w:pPr>
        <w:ind w:left="709" w:hanging="283"/>
        <w:outlineLvl w:val="0"/>
        <w:rPr>
          <w:rFonts w:cs="Arial"/>
          <w:sz w:val="22"/>
          <w:szCs w:val="22"/>
        </w:rPr>
      </w:pPr>
      <w:r w:rsidRPr="000E0BBC">
        <w:rPr>
          <w:rFonts w:cs="Arial"/>
          <w:b/>
          <w:sz w:val="22"/>
          <w:szCs w:val="22"/>
        </w:rPr>
        <w:t>·</w:t>
      </w:r>
      <w:r w:rsidRPr="000E0BBC">
        <w:rPr>
          <w:rFonts w:cs="Arial"/>
          <w:b/>
          <w:sz w:val="22"/>
          <w:szCs w:val="22"/>
        </w:rPr>
        <w:tab/>
      </w:r>
      <w:r w:rsidRPr="000E0BBC">
        <w:rPr>
          <w:rFonts w:cs="Arial"/>
          <w:sz w:val="22"/>
          <w:szCs w:val="22"/>
        </w:rPr>
        <w:t>Behaving with integrity, demonstrating strong commitment to ethical values and respecting the rule of law;</w:t>
      </w:r>
    </w:p>
    <w:p w:rsidR="00D66945" w:rsidRPr="000E0BBC" w:rsidRDefault="00D66945" w:rsidP="00D66945">
      <w:pPr>
        <w:ind w:left="709" w:hanging="283"/>
        <w:outlineLvl w:val="0"/>
        <w:rPr>
          <w:rFonts w:cs="Arial"/>
          <w:sz w:val="22"/>
          <w:szCs w:val="22"/>
        </w:rPr>
      </w:pPr>
      <w:r w:rsidRPr="000E0BBC">
        <w:rPr>
          <w:rFonts w:cs="Arial"/>
          <w:sz w:val="22"/>
          <w:szCs w:val="22"/>
        </w:rPr>
        <w:t>·</w:t>
      </w:r>
      <w:r w:rsidRPr="000E0BBC">
        <w:rPr>
          <w:rFonts w:cs="Arial"/>
          <w:sz w:val="22"/>
          <w:szCs w:val="22"/>
        </w:rPr>
        <w:tab/>
        <w:t>Ensuring openness and comprehensive stakeholder engagement;</w:t>
      </w:r>
    </w:p>
    <w:p w:rsidR="00D66945" w:rsidRPr="000E0BBC" w:rsidRDefault="00D66945" w:rsidP="00D66945">
      <w:pPr>
        <w:ind w:left="709" w:hanging="283"/>
        <w:outlineLvl w:val="0"/>
        <w:rPr>
          <w:rFonts w:cs="Arial"/>
          <w:sz w:val="22"/>
          <w:szCs w:val="22"/>
        </w:rPr>
      </w:pPr>
      <w:r w:rsidRPr="000E0BBC">
        <w:rPr>
          <w:rFonts w:cs="Arial"/>
          <w:sz w:val="22"/>
          <w:szCs w:val="22"/>
        </w:rPr>
        <w:t>·</w:t>
      </w:r>
      <w:r w:rsidRPr="000E0BBC">
        <w:rPr>
          <w:rFonts w:cs="Arial"/>
          <w:sz w:val="22"/>
          <w:szCs w:val="22"/>
        </w:rPr>
        <w:tab/>
        <w:t>Defining outcomes in terms of sustainable economic, social and environmental benefits;</w:t>
      </w:r>
    </w:p>
    <w:p w:rsidR="00D66945" w:rsidRPr="000E0BBC" w:rsidRDefault="00D66945" w:rsidP="00D66945">
      <w:pPr>
        <w:ind w:left="709" w:hanging="283"/>
        <w:outlineLvl w:val="0"/>
        <w:rPr>
          <w:rFonts w:cs="Arial"/>
          <w:sz w:val="22"/>
          <w:szCs w:val="22"/>
        </w:rPr>
      </w:pPr>
      <w:r w:rsidRPr="000E0BBC">
        <w:rPr>
          <w:rFonts w:cs="Arial"/>
          <w:sz w:val="22"/>
          <w:szCs w:val="22"/>
        </w:rPr>
        <w:t>·</w:t>
      </w:r>
      <w:r w:rsidRPr="000E0BBC">
        <w:rPr>
          <w:rFonts w:cs="Arial"/>
          <w:sz w:val="22"/>
          <w:szCs w:val="22"/>
        </w:rPr>
        <w:tab/>
        <w:t>Determining the interventions necessary to optimise the achievement of the intended outcomes;</w:t>
      </w:r>
    </w:p>
    <w:p w:rsidR="00D66945" w:rsidRPr="000E0BBC" w:rsidRDefault="00D66945" w:rsidP="00D66945">
      <w:pPr>
        <w:ind w:left="709" w:hanging="283"/>
        <w:outlineLvl w:val="0"/>
        <w:rPr>
          <w:rFonts w:cs="Arial"/>
          <w:sz w:val="22"/>
          <w:szCs w:val="22"/>
        </w:rPr>
      </w:pPr>
      <w:r w:rsidRPr="000E0BBC">
        <w:rPr>
          <w:rFonts w:cs="Arial"/>
          <w:sz w:val="22"/>
          <w:szCs w:val="22"/>
        </w:rPr>
        <w:lastRenderedPageBreak/>
        <w:t>·</w:t>
      </w:r>
      <w:r w:rsidRPr="000E0BBC">
        <w:rPr>
          <w:rFonts w:cs="Arial"/>
          <w:sz w:val="22"/>
          <w:szCs w:val="22"/>
        </w:rPr>
        <w:tab/>
        <w:t>Developing the Fund's capacity, including the capability of its leadership and the individuals within it;</w:t>
      </w:r>
    </w:p>
    <w:p w:rsidR="00D66945" w:rsidRPr="000E0BBC" w:rsidRDefault="00D66945" w:rsidP="00D66945">
      <w:pPr>
        <w:ind w:left="709" w:hanging="283"/>
        <w:outlineLvl w:val="0"/>
        <w:rPr>
          <w:rFonts w:cs="Arial"/>
          <w:sz w:val="22"/>
          <w:szCs w:val="22"/>
        </w:rPr>
      </w:pPr>
      <w:r w:rsidRPr="000E0BBC">
        <w:rPr>
          <w:rFonts w:cs="Arial"/>
          <w:sz w:val="22"/>
          <w:szCs w:val="22"/>
        </w:rPr>
        <w:t>·</w:t>
      </w:r>
      <w:r w:rsidRPr="000E0BBC">
        <w:rPr>
          <w:rFonts w:cs="Arial"/>
          <w:sz w:val="22"/>
          <w:szCs w:val="22"/>
        </w:rPr>
        <w:tab/>
        <w:t>Managing risks and performance through robust internal control and strong public financial management; and</w:t>
      </w:r>
    </w:p>
    <w:p w:rsidR="00D66945" w:rsidRPr="000E0BBC" w:rsidRDefault="00D66945" w:rsidP="00D66945">
      <w:pPr>
        <w:ind w:left="709" w:hanging="283"/>
        <w:outlineLvl w:val="0"/>
        <w:rPr>
          <w:rFonts w:cs="Arial"/>
          <w:sz w:val="22"/>
          <w:szCs w:val="22"/>
        </w:rPr>
      </w:pPr>
      <w:r w:rsidRPr="000E0BBC">
        <w:rPr>
          <w:rFonts w:cs="Arial"/>
          <w:sz w:val="22"/>
          <w:szCs w:val="22"/>
        </w:rPr>
        <w:t>·</w:t>
      </w:r>
      <w:r w:rsidRPr="000E0BBC">
        <w:rPr>
          <w:rFonts w:cs="Arial"/>
          <w:sz w:val="22"/>
          <w:szCs w:val="22"/>
        </w:rPr>
        <w:tab/>
        <w:t>Implementing good practices in transparency, reporting and audit to deliver effective accountability.</w:t>
      </w:r>
    </w:p>
    <w:p w:rsidR="00D66945" w:rsidRPr="000E0BBC" w:rsidRDefault="00D66945" w:rsidP="00D66945">
      <w:pPr>
        <w:outlineLvl w:val="0"/>
        <w:rPr>
          <w:rFonts w:cs="Arial"/>
          <w:b/>
          <w:sz w:val="22"/>
          <w:szCs w:val="22"/>
        </w:rPr>
      </w:pPr>
    </w:p>
    <w:p w:rsidR="00D66945" w:rsidRPr="000E0BBC" w:rsidRDefault="00D66945" w:rsidP="00D66945">
      <w:pPr>
        <w:rPr>
          <w:rFonts w:cs="Arial"/>
          <w:sz w:val="22"/>
          <w:szCs w:val="22"/>
        </w:rPr>
      </w:pPr>
      <w:r w:rsidRPr="000E0BBC">
        <w:rPr>
          <w:rFonts w:cs="Arial"/>
          <w:sz w:val="22"/>
          <w:szCs w:val="22"/>
        </w:rPr>
        <w:t xml:space="preserve">This statement sets out both how the Pension Fund has complied with its own Governance Policy Statement and Lancashire County Council's Code of Corporate Governance </w:t>
      </w:r>
    </w:p>
    <w:p w:rsidR="00D66945" w:rsidRPr="000E0BBC" w:rsidRDefault="00D66945" w:rsidP="00D66945">
      <w:pPr>
        <w:rPr>
          <w:rFonts w:cs="Arial"/>
          <w:sz w:val="22"/>
          <w:szCs w:val="22"/>
        </w:rPr>
      </w:pPr>
    </w:p>
    <w:p w:rsidR="00D66945" w:rsidRPr="000E0BBC" w:rsidRDefault="00D66945" w:rsidP="00D66945">
      <w:pPr>
        <w:rPr>
          <w:rFonts w:cs="Arial"/>
          <w:b/>
          <w:sz w:val="22"/>
          <w:szCs w:val="22"/>
        </w:rPr>
      </w:pPr>
      <w:r w:rsidRPr="000E0BBC">
        <w:rPr>
          <w:rFonts w:cs="Arial"/>
          <w:b/>
          <w:i/>
          <w:sz w:val="22"/>
          <w:szCs w:val="22"/>
        </w:rPr>
        <w:t>The Purpose of the Governance Framework</w:t>
      </w:r>
    </w:p>
    <w:p w:rsidR="00D66945" w:rsidRPr="000E0BBC" w:rsidRDefault="00D66945" w:rsidP="00D66945">
      <w:pPr>
        <w:rPr>
          <w:rFonts w:cs="Arial"/>
          <w:sz w:val="22"/>
          <w:szCs w:val="22"/>
        </w:rPr>
      </w:pPr>
      <w:r w:rsidRPr="000E0BBC">
        <w:rPr>
          <w:rFonts w:cs="Arial"/>
          <w:sz w:val="22"/>
          <w:szCs w:val="22"/>
        </w:rPr>
        <w:t xml:space="preserve">The governance framework comprises the systems and processes, culture and values by which the Pension Fund is directed and controlled and the activities through which it engages with and informs stakeholders, including both fund members and employers. It enables the Fund to monitor the achievement of its strategic objectives and to consider whether those objectives have led to the delivery of appropriate and cost-effective outcomes. </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The system of internal control is a significant part of that framework and is designed to manage risk to a reasonable level. It cannot, particularly in the investment context, eliminate all risk and can therefore only provide reasonable and not absolute assurance of effectiveness. The system of internal control is based on an ongoing process designed to identify and prioritise risks to the achievement of the Fund's objectives, to evaluate the likelihood of those risks being realised and the impact should they be realised, and to manage them efficiently, effectively and economically.</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This statement reports on the annual review of the governance framework by officers which confirms that the framework has been in place within the Pension Fund for the year ended 31 March 2018.</w:t>
      </w:r>
    </w:p>
    <w:p w:rsidR="00D66945" w:rsidRPr="000E0BBC" w:rsidRDefault="00D66945" w:rsidP="00D66945">
      <w:pPr>
        <w:rPr>
          <w:rFonts w:cs="Arial"/>
          <w:sz w:val="22"/>
          <w:szCs w:val="22"/>
        </w:rPr>
      </w:pPr>
    </w:p>
    <w:p w:rsidR="00D66945" w:rsidRPr="000E0BBC" w:rsidRDefault="00D66945" w:rsidP="00D66945">
      <w:pPr>
        <w:rPr>
          <w:rFonts w:cs="Arial"/>
          <w:b/>
          <w:sz w:val="22"/>
          <w:szCs w:val="22"/>
        </w:rPr>
      </w:pPr>
      <w:r w:rsidRPr="000E0BBC">
        <w:rPr>
          <w:rFonts w:cs="Arial"/>
          <w:b/>
          <w:i/>
          <w:sz w:val="22"/>
          <w:szCs w:val="22"/>
        </w:rPr>
        <w:t>The Fund's Governance Framework</w:t>
      </w:r>
    </w:p>
    <w:p w:rsidR="00D66945" w:rsidRPr="000E0BBC" w:rsidRDefault="00D66945" w:rsidP="00D66945">
      <w:pPr>
        <w:rPr>
          <w:rFonts w:cs="Arial"/>
          <w:sz w:val="22"/>
          <w:szCs w:val="22"/>
        </w:rPr>
      </w:pPr>
      <w:r w:rsidRPr="000E0BBC">
        <w:rPr>
          <w:rFonts w:cs="Arial"/>
          <w:sz w:val="22"/>
          <w:szCs w:val="22"/>
        </w:rPr>
        <w:t>The key elements of the systems and processes that comprise the Fund's governance framework are:</w:t>
      </w:r>
    </w:p>
    <w:p w:rsidR="00D66945" w:rsidRPr="000E0BBC" w:rsidRDefault="00D66945" w:rsidP="00D66945">
      <w:pPr>
        <w:rPr>
          <w:rFonts w:cs="Arial"/>
          <w:sz w:val="22"/>
          <w:szCs w:val="22"/>
        </w:rPr>
      </w:pPr>
    </w:p>
    <w:p w:rsidR="00D66945" w:rsidRPr="000E0BBC" w:rsidRDefault="00D66945" w:rsidP="00D66945">
      <w:pPr>
        <w:rPr>
          <w:rFonts w:cs="Arial"/>
          <w:i/>
          <w:sz w:val="22"/>
          <w:szCs w:val="22"/>
        </w:rPr>
      </w:pPr>
      <w:r w:rsidRPr="000E0BBC">
        <w:rPr>
          <w:rFonts w:cs="Arial"/>
          <w:b/>
          <w:i/>
          <w:sz w:val="22"/>
          <w:szCs w:val="22"/>
        </w:rPr>
        <w:t>The identification and communication of the Fund's purpose objectives and intended outcomes to Fund members and employers</w:t>
      </w:r>
      <w:r w:rsidRPr="000E0BBC">
        <w:rPr>
          <w:rFonts w:cs="Arial"/>
          <w:i/>
          <w:sz w:val="22"/>
          <w:szCs w:val="22"/>
        </w:rPr>
        <w:t>.</w:t>
      </w:r>
    </w:p>
    <w:p w:rsidR="00D66945" w:rsidRPr="000E0BBC" w:rsidRDefault="00D66945" w:rsidP="00D66945">
      <w:pPr>
        <w:rPr>
          <w:rFonts w:cs="Arial"/>
          <w:sz w:val="22"/>
          <w:szCs w:val="22"/>
        </w:rPr>
      </w:pPr>
      <w:r w:rsidRPr="000E0BBC">
        <w:rPr>
          <w:rFonts w:cs="Arial"/>
          <w:sz w:val="22"/>
          <w:szCs w:val="22"/>
        </w:rPr>
        <w:t xml:space="preserve">The Fund has a clear objectives as established by statute and it has an established planning process focussed around the triennial actuarial review.  The Fund has a communication strategy which keeps both Members and employing bodies informed. This is supported by the role of the Local Pension Board.  </w:t>
      </w:r>
    </w:p>
    <w:p w:rsidR="00D66945" w:rsidRPr="000E0BBC" w:rsidRDefault="00D66945" w:rsidP="00D66945">
      <w:pPr>
        <w:rPr>
          <w:rFonts w:cs="Arial"/>
          <w:sz w:val="22"/>
          <w:szCs w:val="22"/>
        </w:rPr>
      </w:pPr>
    </w:p>
    <w:p w:rsidR="00D66945" w:rsidRPr="000E0BBC" w:rsidRDefault="00D66945" w:rsidP="00D66945">
      <w:pPr>
        <w:rPr>
          <w:rFonts w:cs="Arial"/>
          <w:b/>
          <w:i/>
          <w:sz w:val="22"/>
          <w:szCs w:val="22"/>
        </w:rPr>
      </w:pPr>
      <w:r w:rsidRPr="000E0BBC">
        <w:rPr>
          <w:rFonts w:cs="Arial"/>
          <w:b/>
          <w:i/>
          <w:sz w:val="22"/>
          <w:szCs w:val="22"/>
        </w:rPr>
        <w:t>Review of the Fund's objectives and intended outcomes and implications for the Fund's governance arrangements</w:t>
      </w:r>
    </w:p>
    <w:p w:rsidR="00D66945" w:rsidRPr="000E0BBC" w:rsidRDefault="00D66945" w:rsidP="00D66945">
      <w:pPr>
        <w:rPr>
          <w:rFonts w:cs="Arial"/>
          <w:sz w:val="22"/>
          <w:szCs w:val="22"/>
        </w:rPr>
      </w:pPr>
      <w:r w:rsidRPr="000E0BBC">
        <w:rPr>
          <w:rFonts w:cs="Arial"/>
          <w:sz w:val="22"/>
          <w:szCs w:val="22"/>
        </w:rPr>
        <w:t xml:space="preserve">The Head of Fund reviews new and proposed legislation and the results of activities such as the triennial valuation on an ongoing basis and propose any necessary changes either to objectives and outcomes or the governance arrangements to the Pension Fund Committee. </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The Pension Fund Committee are responsible for establishing   the strategic objectives of the Fund through a rolling 3 year strategic Plan and for monitoring the progress on the delivery of the strategic objectives.</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All reports considered by the Pension Fund Committee identify how the key risks involved in any proposed decision and the nature of mitigation, together with any legal or other issues that might arise.</w:t>
      </w:r>
    </w:p>
    <w:p w:rsidR="00D66945" w:rsidRPr="000E0BBC" w:rsidRDefault="00D66945" w:rsidP="00D66945">
      <w:pPr>
        <w:rPr>
          <w:rFonts w:cs="Arial"/>
          <w:b/>
          <w:i/>
          <w:sz w:val="22"/>
          <w:szCs w:val="22"/>
        </w:rPr>
      </w:pPr>
      <w:r w:rsidRPr="000E0BBC">
        <w:rPr>
          <w:rFonts w:cs="Arial"/>
          <w:b/>
          <w:i/>
          <w:sz w:val="22"/>
          <w:szCs w:val="22"/>
        </w:rPr>
        <w:lastRenderedPageBreak/>
        <w:t>Measurement of the quality of services provided to Fund members and employers, ensuring they are delivered in line with the Fund's objectives and ensuring that they represent the best use of resources and value for money.</w:t>
      </w:r>
    </w:p>
    <w:p w:rsidR="00D66945" w:rsidRPr="000E0BBC" w:rsidRDefault="00D66945" w:rsidP="00D66945">
      <w:pPr>
        <w:rPr>
          <w:rFonts w:cs="Arial"/>
          <w:sz w:val="22"/>
          <w:szCs w:val="22"/>
        </w:rPr>
      </w:pPr>
      <w:r w:rsidRPr="000E0BBC">
        <w:rPr>
          <w:rFonts w:cs="Arial"/>
          <w:sz w:val="22"/>
          <w:szCs w:val="22"/>
        </w:rPr>
        <w:t xml:space="preserve">The Pension Fund Committee has approved a strategic plan for the Fund setting out specific objectives in relation to the 4 dimensions of the running of a pension fund. Many of these functions are now performed under contract by Local Pension Partnership (LPP).  These and the overall strategic plan will continue to be monitored by the Head of Fund </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Reports on the performance of the Investment Strategy are reported to each meeting of the Pension Fund Committee. This reporting focuses not just on the performance of investments but on the scale of the Fund's liabilities. Asset allocation strategies are as efficient as possible in providing the best returns (net of fees) for the appropriate amount of risk.</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 xml:space="preserve">The administration service is now undertaken by LPP. As part of its responsibility for the Governance of the Fund the Pension Fund Committee are responsible for overseeing the administration function. To do this the Committee receives a quarterly update report on the activities of LPP. </w:t>
      </w:r>
    </w:p>
    <w:p w:rsidR="00D66945" w:rsidRPr="000E0BBC" w:rsidRDefault="00D66945" w:rsidP="00D66945">
      <w:pPr>
        <w:rPr>
          <w:rFonts w:cs="Arial"/>
          <w:sz w:val="22"/>
          <w:szCs w:val="22"/>
        </w:rPr>
      </w:pPr>
    </w:p>
    <w:p w:rsidR="00D66945" w:rsidRPr="000E0BBC" w:rsidRDefault="00D66945" w:rsidP="00D66945">
      <w:pPr>
        <w:rPr>
          <w:rFonts w:cs="Arial"/>
          <w:i/>
          <w:sz w:val="22"/>
          <w:szCs w:val="22"/>
        </w:rPr>
      </w:pPr>
      <w:r w:rsidRPr="000E0BBC">
        <w:rPr>
          <w:rFonts w:cs="Arial"/>
          <w:b/>
          <w:i/>
          <w:sz w:val="22"/>
          <w:szCs w:val="22"/>
        </w:rPr>
        <w:t>Definition and documentation of the roles and responsibilities of those involved in the management of the Fund with clear delegation arrangements and protocols for communication</w:t>
      </w:r>
      <w:r w:rsidRPr="000E0BBC">
        <w:rPr>
          <w:rFonts w:cs="Arial"/>
          <w:i/>
          <w:sz w:val="22"/>
          <w:szCs w:val="22"/>
        </w:rPr>
        <w:t xml:space="preserve">. </w:t>
      </w:r>
    </w:p>
    <w:p w:rsidR="00D66945" w:rsidRPr="000E0BBC" w:rsidRDefault="00D66945" w:rsidP="00D66945">
      <w:pPr>
        <w:rPr>
          <w:rFonts w:cs="Arial"/>
          <w:sz w:val="22"/>
          <w:szCs w:val="22"/>
        </w:rPr>
      </w:pPr>
      <w:r w:rsidRPr="000E0BBC">
        <w:rPr>
          <w:rFonts w:cs="Arial"/>
          <w:sz w:val="22"/>
          <w:szCs w:val="22"/>
        </w:rPr>
        <w:t>Appropriate guidance documents and constitutional documents such as the Governance Policy Statement provide the basis on which the management of the Fund is undertaken. Matters reserved for the Pension Fund Committee and the Head of Fund are defined in the Governance Policy Statement and more widely in the County Council's Constitution.</w:t>
      </w:r>
    </w:p>
    <w:p w:rsidR="00D66945" w:rsidRPr="000E0BBC" w:rsidRDefault="00D66945" w:rsidP="00D66945">
      <w:pPr>
        <w:rPr>
          <w:rFonts w:cs="Arial"/>
          <w:sz w:val="22"/>
          <w:szCs w:val="22"/>
        </w:rPr>
      </w:pPr>
    </w:p>
    <w:p w:rsidR="00D66945" w:rsidRPr="000E0BBC" w:rsidRDefault="00D66945" w:rsidP="00D66945">
      <w:pPr>
        <w:rPr>
          <w:rFonts w:cs="Arial"/>
          <w:b/>
          <w:sz w:val="22"/>
          <w:szCs w:val="22"/>
        </w:rPr>
      </w:pPr>
      <w:r w:rsidRPr="000E0BBC">
        <w:rPr>
          <w:rFonts w:cs="Arial"/>
          <w:b/>
          <w:i/>
          <w:sz w:val="22"/>
          <w:szCs w:val="22"/>
        </w:rPr>
        <w:t>Development communication and embedding codes of conduct, definition of the standards of behaviour for members and staff.</w:t>
      </w:r>
    </w:p>
    <w:p w:rsidR="00D66945" w:rsidRPr="000E0BBC" w:rsidRDefault="00D66945" w:rsidP="00D66945">
      <w:pPr>
        <w:rPr>
          <w:rFonts w:cs="Arial"/>
          <w:sz w:val="22"/>
          <w:szCs w:val="22"/>
        </w:rPr>
      </w:pPr>
      <w:r w:rsidRPr="000E0BBC">
        <w:rPr>
          <w:rFonts w:cs="Arial"/>
          <w:sz w:val="22"/>
          <w:szCs w:val="22"/>
        </w:rPr>
        <w:t xml:space="preserve">These matters are defined in law and the various codes of conduct and protocols contained within the County Council's constitution. Staff are reminded of the requirements of these codes on a regular basis, while specific training in relation to matters such as declarations of interest is provided to elected members following each set of County Council elections. </w:t>
      </w:r>
    </w:p>
    <w:p w:rsidR="00D66945" w:rsidRPr="000E0BBC" w:rsidRDefault="00D66945" w:rsidP="00D66945">
      <w:pPr>
        <w:rPr>
          <w:rFonts w:cs="Arial"/>
          <w:sz w:val="22"/>
          <w:szCs w:val="22"/>
        </w:rPr>
      </w:pPr>
    </w:p>
    <w:p w:rsidR="00D66945" w:rsidRPr="000E0BBC" w:rsidRDefault="00D66945" w:rsidP="00D66945">
      <w:pPr>
        <w:rPr>
          <w:rFonts w:cs="Arial"/>
          <w:b/>
          <w:sz w:val="22"/>
          <w:szCs w:val="22"/>
        </w:rPr>
      </w:pPr>
      <w:r w:rsidRPr="000E0BBC">
        <w:rPr>
          <w:rFonts w:cs="Arial"/>
          <w:b/>
          <w:i/>
          <w:sz w:val="22"/>
          <w:szCs w:val="22"/>
        </w:rPr>
        <w:t>Review of the effectiveness of the Fund's decision making framework including delegation arrangements and robustness of data.</w:t>
      </w:r>
    </w:p>
    <w:p w:rsidR="00D66945" w:rsidRDefault="00D66945" w:rsidP="00D66945">
      <w:pPr>
        <w:rPr>
          <w:rFonts w:cs="Arial"/>
          <w:sz w:val="22"/>
          <w:szCs w:val="22"/>
        </w:rPr>
      </w:pPr>
      <w:r w:rsidRPr="000E0BBC">
        <w:rPr>
          <w:rFonts w:cs="Arial"/>
          <w:sz w:val="22"/>
          <w:szCs w:val="22"/>
        </w:rPr>
        <w:t xml:space="preserve">The interaction between the Pension Fund Committee and the Investment Panel, meet the needs of the Fund in terms of effective delivery of the Investment Strategy. This is reflected in specific reporting arrangements in relation to investment activity. </w:t>
      </w:r>
    </w:p>
    <w:p w:rsidR="005B5C91" w:rsidRPr="000E0BBC" w:rsidRDefault="005B5C91" w:rsidP="00D66945">
      <w:pPr>
        <w:rPr>
          <w:rFonts w:cs="Arial"/>
          <w:sz w:val="22"/>
          <w:szCs w:val="22"/>
        </w:rPr>
      </w:pPr>
    </w:p>
    <w:p w:rsidR="00D66945" w:rsidRPr="000E0BBC" w:rsidRDefault="00D66945" w:rsidP="00D66945">
      <w:pPr>
        <w:rPr>
          <w:rFonts w:cs="Arial"/>
          <w:b/>
          <w:i/>
          <w:sz w:val="22"/>
          <w:szCs w:val="22"/>
        </w:rPr>
      </w:pPr>
      <w:r w:rsidRPr="000E0BBC">
        <w:rPr>
          <w:rFonts w:cs="Arial"/>
          <w:b/>
          <w:i/>
          <w:sz w:val="22"/>
          <w:szCs w:val="22"/>
        </w:rPr>
        <w:t>Review and update of standing orders, standing financial instructions, a scheme of delegation and supporting procedure notes / manuals which define how decisions are taken and the processes and controls required to manage risks.</w:t>
      </w:r>
    </w:p>
    <w:p w:rsidR="00D66945" w:rsidRPr="000E0BBC" w:rsidRDefault="00D66945" w:rsidP="00D66945">
      <w:pPr>
        <w:rPr>
          <w:rFonts w:cs="Arial"/>
          <w:sz w:val="22"/>
          <w:szCs w:val="22"/>
        </w:rPr>
      </w:pPr>
      <w:r w:rsidRPr="000E0BBC">
        <w:rPr>
          <w:rFonts w:cs="Arial"/>
          <w:sz w:val="22"/>
          <w:szCs w:val="22"/>
        </w:rPr>
        <w:t>At the top level these requirements are set out in the Governance Policy Statement and within the County Council's Constitution. These are reviewed on a regular basis and are supported by a range of detailed materials appropriate to specific activities.</w:t>
      </w:r>
    </w:p>
    <w:p w:rsidR="005B5C91" w:rsidRDefault="005B5C91" w:rsidP="00D66945">
      <w:pPr>
        <w:rPr>
          <w:rFonts w:cs="Arial"/>
          <w:sz w:val="22"/>
          <w:szCs w:val="22"/>
        </w:rPr>
      </w:pPr>
    </w:p>
    <w:p w:rsidR="005B5C91" w:rsidRDefault="005B5C91" w:rsidP="00D66945">
      <w:pPr>
        <w:rPr>
          <w:rFonts w:cs="Arial"/>
          <w:sz w:val="22"/>
          <w:szCs w:val="22"/>
        </w:rPr>
      </w:pPr>
    </w:p>
    <w:p w:rsidR="005B5C91" w:rsidRDefault="005B5C91"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lastRenderedPageBreak/>
        <w:t>The management of risk is central to the Fund's activities and the Fund has continued to develop and update its risk register. Key areas of risk include:</w:t>
      </w:r>
    </w:p>
    <w:p w:rsidR="00D66945" w:rsidRPr="000E0BBC" w:rsidRDefault="00D66945" w:rsidP="00D66945">
      <w:pPr>
        <w:rPr>
          <w:rFonts w:cs="Arial"/>
          <w:sz w:val="22"/>
          <w:szCs w:val="22"/>
        </w:rPr>
      </w:pPr>
    </w:p>
    <w:p w:rsidR="00D66945" w:rsidRPr="00D95634" w:rsidRDefault="00D66945" w:rsidP="00D66945">
      <w:pPr>
        <w:pStyle w:val="ListParagraph"/>
        <w:numPr>
          <w:ilvl w:val="0"/>
          <w:numId w:val="33"/>
        </w:numPr>
        <w:autoSpaceDE/>
        <w:autoSpaceDN/>
        <w:adjustRightInd/>
        <w:spacing w:after="0" w:line="276" w:lineRule="auto"/>
        <w:jc w:val="left"/>
        <w:rPr>
          <w:rFonts w:cs="Arial"/>
          <w:sz w:val="22"/>
          <w:szCs w:val="22"/>
        </w:rPr>
      </w:pPr>
      <w:r w:rsidRPr="00D95634">
        <w:rPr>
          <w:rFonts w:cs="Arial"/>
          <w:sz w:val="22"/>
          <w:szCs w:val="22"/>
        </w:rPr>
        <w:t xml:space="preserve">Investment and Funding Risk – all financial risks associated with the Fund;       </w:t>
      </w:r>
    </w:p>
    <w:p w:rsidR="00D66945" w:rsidRPr="00D95634" w:rsidRDefault="00D66945" w:rsidP="00D66945">
      <w:pPr>
        <w:pStyle w:val="ListParagraph"/>
        <w:numPr>
          <w:ilvl w:val="0"/>
          <w:numId w:val="33"/>
        </w:numPr>
        <w:autoSpaceDE/>
        <w:autoSpaceDN/>
        <w:adjustRightInd/>
        <w:spacing w:after="0" w:line="276" w:lineRule="auto"/>
        <w:jc w:val="left"/>
        <w:rPr>
          <w:rFonts w:cs="Arial"/>
          <w:sz w:val="22"/>
          <w:szCs w:val="22"/>
          <w:lang w:eastAsia="en-GB"/>
        </w:rPr>
      </w:pPr>
      <w:r w:rsidRPr="00D95634">
        <w:rPr>
          <w:rFonts w:cs="Arial"/>
          <w:sz w:val="22"/>
          <w:szCs w:val="22"/>
        </w:rPr>
        <w:t>Member risk – all risks which may impact on the high levels of service the fund members receive;</w:t>
      </w:r>
    </w:p>
    <w:p w:rsidR="00D66945" w:rsidRPr="00D95634" w:rsidRDefault="00D66945" w:rsidP="00D66945">
      <w:pPr>
        <w:pStyle w:val="ListParagraph"/>
        <w:numPr>
          <w:ilvl w:val="0"/>
          <w:numId w:val="33"/>
        </w:numPr>
        <w:autoSpaceDE/>
        <w:autoSpaceDN/>
        <w:adjustRightInd/>
        <w:spacing w:after="0" w:line="276" w:lineRule="auto"/>
        <w:jc w:val="left"/>
        <w:rPr>
          <w:rFonts w:cs="Arial"/>
          <w:sz w:val="22"/>
          <w:szCs w:val="22"/>
        </w:rPr>
      </w:pPr>
      <w:r w:rsidRPr="00D95634">
        <w:rPr>
          <w:rFonts w:cs="Arial"/>
          <w:sz w:val="22"/>
          <w:szCs w:val="22"/>
        </w:rPr>
        <w:t>Operational risk – risks which could negatively impact the smooth and effective running of all aspects of Fund operations and governance;</w:t>
      </w:r>
    </w:p>
    <w:p w:rsidR="00D66945" w:rsidRPr="00D95634" w:rsidRDefault="00D66945" w:rsidP="00D66945">
      <w:pPr>
        <w:pStyle w:val="ListParagraph"/>
        <w:numPr>
          <w:ilvl w:val="0"/>
          <w:numId w:val="33"/>
        </w:numPr>
        <w:autoSpaceDE/>
        <w:autoSpaceDN/>
        <w:adjustRightInd/>
        <w:spacing w:after="0" w:line="276" w:lineRule="auto"/>
        <w:jc w:val="left"/>
        <w:rPr>
          <w:rFonts w:cs="Arial"/>
          <w:sz w:val="22"/>
          <w:szCs w:val="22"/>
        </w:rPr>
      </w:pPr>
      <w:r w:rsidRPr="00D95634">
        <w:rPr>
          <w:rFonts w:cs="Arial"/>
          <w:sz w:val="22"/>
          <w:szCs w:val="22"/>
        </w:rPr>
        <w:t>Transition risk – the temporary risks associated with change.  Once the change is embedded, the risk lies in one of the other categories above.</w:t>
      </w:r>
    </w:p>
    <w:p w:rsidR="00D66945" w:rsidRPr="00D95634" w:rsidRDefault="00D66945" w:rsidP="00D66945">
      <w:pPr>
        <w:pStyle w:val="ListParagraph"/>
        <w:spacing w:line="276" w:lineRule="auto"/>
        <w:ind w:left="360"/>
        <w:rPr>
          <w:rFonts w:cs="Arial"/>
          <w:sz w:val="22"/>
          <w:szCs w:val="22"/>
        </w:rPr>
      </w:pPr>
    </w:p>
    <w:p w:rsidR="00D66945" w:rsidRPr="00D95634" w:rsidRDefault="00D66945" w:rsidP="00D66945">
      <w:pPr>
        <w:spacing w:line="276" w:lineRule="auto"/>
        <w:rPr>
          <w:rFonts w:cs="Arial"/>
          <w:sz w:val="22"/>
          <w:szCs w:val="22"/>
        </w:rPr>
      </w:pPr>
      <w:r w:rsidRPr="00D95634">
        <w:rPr>
          <w:rFonts w:cs="Arial"/>
          <w:sz w:val="22"/>
          <w:szCs w:val="22"/>
        </w:rPr>
        <w:t xml:space="preserve">Through the use of a detailed Risk Management Framework, LCPF maintain a detailed risk register covering all the risks identified within the four main risk groups.  Mitigating actions are carried out and reviewed quarterly to ensure that each risk is effectively managed and risk ratings are updated accordingly. </w:t>
      </w:r>
    </w:p>
    <w:p w:rsidR="00D66945" w:rsidRPr="000E0BBC" w:rsidRDefault="00D66945" w:rsidP="00D66945">
      <w:pPr>
        <w:rPr>
          <w:rFonts w:cs="Arial"/>
          <w:sz w:val="22"/>
          <w:szCs w:val="22"/>
        </w:rPr>
      </w:pPr>
    </w:p>
    <w:p w:rsidR="00D66945" w:rsidRPr="000E0BBC" w:rsidRDefault="00D66945" w:rsidP="00D66945">
      <w:pPr>
        <w:rPr>
          <w:rFonts w:cs="Arial"/>
          <w:b/>
          <w:i/>
          <w:sz w:val="22"/>
          <w:szCs w:val="22"/>
        </w:rPr>
      </w:pPr>
      <w:r w:rsidRPr="000E0BBC">
        <w:rPr>
          <w:rFonts w:cs="Arial"/>
          <w:b/>
          <w:i/>
          <w:sz w:val="22"/>
          <w:szCs w:val="22"/>
        </w:rPr>
        <w:t>Fulfilling the core functions of an Audit Committee</w:t>
      </w:r>
    </w:p>
    <w:p w:rsidR="00D66945" w:rsidRPr="000E0BBC" w:rsidRDefault="00D66945" w:rsidP="00D66945">
      <w:pPr>
        <w:rPr>
          <w:rFonts w:cs="Arial"/>
          <w:sz w:val="22"/>
          <w:szCs w:val="22"/>
        </w:rPr>
      </w:pPr>
      <w:r w:rsidRPr="000E0BBC">
        <w:rPr>
          <w:rFonts w:cs="Arial"/>
          <w:sz w:val="22"/>
          <w:szCs w:val="22"/>
        </w:rPr>
        <w:t>In relation to the Fund this role is performed by Lancashire County Council's Audit, Risk and Governance Committee, which conducts an annual review of its effectiveness in undertaking this role.</w:t>
      </w:r>
    </w:p>
    <w:p w:rsidR="00D66945" w:rsidRPr="000E0BBC" w:rsidRDefault="00D66945" w:rsidP="00D66945">
      <w:pPr>
        <w:rPr>
          <w:rFonts w:cs="Arial"/>
          <w:sz w:val="22"/>
          <w:szCs w:val="22"/>
        </w:rPr>
      </w:pPr>
    </w:p>
    <w:p w:rsidR="00D66945" w:rsidRPr="000E0BBC" w:rsidRDefault="00D66945" w:rsidP="00D66945">
      <w:pPr>
        <w:rPr>
          <w:rFonts w:cs="Arial"/>
          <w:b/>
          <w:sz w:val="22"/>
          <w:szCs w:val="22"/>
        </w:rPr>
      </w:pPr>
      <w:r w:rsidRPr="000E0BBC">
        <w:rPr>
          <w:rFonts w:cs="Arial"/>
          <w:b/>
          <w:i/>
          <w:sz w:val="22"/>
          <w:szCs w:val="22"/>
        </w:rPr>
        <w:t>The ensuring of compliance with relevant laws and regulations, internal policies and procedure and that expenditure is lawful</w:t>
      </w:r>
    </w:p>
    <w:p w:rsidR="00D66945" w:rsidRPr="000E0BBC" w:rsidRDefault="00D66945" w:rsidP="00D66945">
      <w:pPr>
        <w:rPr>
          <w:rFonts w:cs="Arial"/>
          <w:sz w:val="22"/>
          <w:szCs w:val="22"/>
        </w:rPr>
      </w:pPr>
      <w:r w:rsidRPr="000E0BBC">
        <w:rPr>
          <w:rFonts w:cs="Arial"/>
          <w:sz w:val="22"/>
          <w:szCs w:val="22"/>
        </w:rPr>
        <w:t xml:space="preserve">The key area of compliance from an operational point of view is with the various Local Government Pension Scheme Regulations covering both the structure and benefits payable by the Fund and the investment of funds. </w:t>
      </w:r>
    </w:p>
    <w:p w:rsidR="00D66945" w:rsidRPr="000E0BBC" w:rsidRDefault="00D66945" w:rsidP="00D66945">
      <w:pPr>
        <w:rPr>
          <w:rFonts w:cs="Arial"/>
          <w:sz w:val="22"/>
          <w:szCs w:val="22"/>
        </w:rPr>
      </w:pPr>
      <w:r w:rsidRPr="000E0BBC">
        <w:rPr>
          <w:rFonts w:cs="Arial"/>
          <w:sz w:val="22"/>
          <w:szCs w:val="22"/>
        </w:rPr>
        <w:t xml:space="preserve">Compliance with the Scheme Regulations is ensured by a dedicated technical team and the use of a pension's administration system specifically designed for the LGPS. </w:t>
      </w:r>
    </w:p>
    <w:p w:rsidR="00D66945" w:rsidRPr="000E0BBC" w:rsidRDefault="00D66945" w:rsidP="00D66945">
      <w:pPr>
        <w:rPr>
          <w:rFonts w:cs="Arial"/>
          <w:sz w:val="22"/>
          <w:szCs w:val="22"/>
        </w:rPr>
      </w:pPr>
      <w:r w:rsidRPr="000E0BBC">
        <w:rPr>
          <w:rFonts w:cs="Arial"/>
          <w:sz w:val="22"/>
          <w:szCs w:val="22"/>
        </w:rPr>
        <w:t xml:space="preserve">The Fund's investments are managed in line with the relevant regulations with independent assurance in relation to compliance provided by either the Fund's or LPP's custodian.  LPP investments is a Financial Conduct Authority (FCA) registered company and therefore has to follow strict rules over compliance and has a compliance Team which is independent from the Investment Management. </w:t>
      </w:r>
    </w:p>
    <w:p w:rsidR="00D66945" w:rsidRPr="000E0BBC" w:rsidRDefault="00D66945" w:rsidP="00D66945">
      <w:pPr>
        <w:rPr>
          <w:rFonts w:cs="Arial"/>
          <w:sz w:val="22"/>
          <w:szCs w:val="22"/>
        </w:rPr>
      </w:pPr>
      <w:r w:rsidRPr="000E0BBC">
        <w:rPr>
          <w:rFonts w:cs="Arial"/>
          <w:sz w:val="22"/>
          <w:szCs w:val="22"/>
        </w:rPr>
        <w:t>The Fund and its officers must also comply with a range of other laws and regulations applicable either to local authorities generally or to any organisation. These are managed through the specific accountabilities of individual managers or through the wider County Council's business processes with the Monitoring Officer providing advice on the impact of legislative changes when necessary.</w:t>
      </w:r>
    </w:p>
    <w:p w:rsidR="00D66945" w:rsidRPr="000E0BBC" w:rsidRDefault="00D66945" w:rsidP="00D66945">
      <w:pPr>
        <w:rPr>
          <w:rFonts w:cs="Arial"/>
          <w:i/>
          <w:sz w:val="22"/>
          <w:szCs w:val="22"/>
        </w:rPr>
      </w:pPr>
      <w:r w:rsidRPr="000E0BBC">
        <w:rPr>
          <w:rFonts w:cs="Arial"/>
          <w:sz w:val="22"/>
          <w:szCs w:val="22"/>
        </w:rPr>
        <w:t xml:space="preserve">The Fund participates in the National Fraud Initiative, and actively investigates all data matches found as a result of this process. The results of this work are reported to the Pension Fund Committee. </w:t>
      </w:r>
    </w:p>
    <w:p w:rsidR="005B5C91" w:rsidRDefault="005B5C91" w:rsidP="00D66945">
      <w:pPr>
        <w:rPr>
          <w:rFonts w:cs="Arial"/>
          <w:b/>
          <w:i/>
          <w:sz w:val="22"/>
          <w:szCs w:val="22"/>
        </w:rPr>
      </w:pPr>
    </w:p>
    <w:p w:rsidR="00D66945" w:rsidRDefault="00D66945" w:rsidP="00D66945">
      <w:pPr>
        <w:rPr>
          <w:rFonts w:cs="Arial"/>
          <w:b/>
          <w:i/>
          <w:sz w:val="22"/>
          <w:szCs w:val="22"/>
        </w:rPr>
      </w:pPr>
      <w:r w:rsidRPr="000E0BBC">
        <w:rPr>
          <w:rFonts w:cs="Arial"/>
          <w:b/>
          <w:i/>
          <w:sz w:val="22"/>
          <w:szCs w:val="22"/>
        </w:rPr>
        <w:t>Whistle blowing and receiving and investigating complaints from the public</w:t>
      </w:r>
    </w:p>
    <w:p w:rsidR="00D66945" w:rsidRPr="000E0BBC" w:rsidRDefault="00D66945" w:rsidP="00D66945">
      <w:pPr>
        <w:rPr>
          <w:rFonts w:cs="Arial"/>
          <w:sz w:val="22"/>
          <w:szCs w:val="22"/>
        </w:rPr>
      </w:pPr>
      <w:r w:rsidRPr="000E0BBC">
        <w:rPr>
          <w:rFonts w:cs="Arial"/>
          <w:sz w:val="22"/>
          <w:szCs w:val="22"/>
        </w:rPr>
        <w:t xml:space="preserve">The Fund is covered by the County Council's whistle blowing policy, the effectiveness of which is reported to the Audit, Risk and Governance Committee annually. </w:t>
      </w:r>
    </w:p>
    <w:p w:rsidR="00D66945" w:rsidRPr="000E0BBC" w:rsidRDefault="00D66945" w:rsidP="00D66945">
      <w:pPr>
        <w:rPr>
          <w:rFonts w:cs="Arial"/>
          <w:sz w:val="22"/>
          <w:szCs w:val="22"/>
        </w:rPr>
      </w:pPr>
      <w:r w:rsidRPr="000E0BBC">
        <w:rPr>
          <w:rFonts w:cs="Arial"/>
          <w:sz w:val="22"/>
          <w:szCs w:val="22"/>
        </w:rPr>
        <w:t>Complaint handling is carried out in line with either the Internal Dispute Resolution Procedure (in relation to complaints by members in relation to the level of benefit awarded) or the County Council's complaints procedure (in relation to other matters). These policies are publicly available and the numbers and outcomes of complaints under the Internal Dispute Resolution Procedure are reported annually in the Annual Administration Report.</w:t>
      </w:r>
    </w:p>
    <w:p w:rsidR="00D66945" w:rsidRPr="000E0BBC" w:rsidRDefault="00D66945" w:rsidP="00D66945">
      <w:pPr>
        <w:rPr>
          <w:rFonts w:cs="Arial"/>
          <w:sz w:val="22"/>
          <w:szCs w:val="22"/>
        </w:rPr>
      </w:pPr>
    </w:p>
    <w:p w:rsidR="00D66945" w:rsidRPr="000E0BBC" w:rsidRDefault="00D66945" w:rsidP="00D66945">
      <w:pPr>
        <w:rPr>
          <w:rFonts w:cs="Arial"/>
          <w:b/>
          <w:sz w:val="22"/>
          <w:szCs w:val="22"/>
        </w:rPr>
      </w:pPr>
      <w:r w:rsidRPr="000E0BBC">
        <w:rPr>
          <w:rFonts w:cs="Arial"/>
          <w:b/>
          <w:i/>
          <w:sz w:val="22"/>
          <w:szCs w:val="22"/>
        </w:rPr>
        <w:lastRenderedPageBreak/>
        <w:t>Identifying the development needs of members and senior officers in relation to their roles and supporting them through appropriate training.</w:t>
      </w:r>
    </w:p>
    <w:p w:rsidR="00D66945" w:rsidRPr="000E0BBC" w:rsidRDefault="00D66945" w:rsidP="00D66945">
      <w:pPr>
        <w:rPr>
          <w:rFonts w:cs="Arial"/>
          <w:sz w:val="22"/>
          <w:szCs w:val="22"/>
        </w:rPr>
      </w:pPr>
      <w:r w:rsidRPr="000E0BBC">
        <w:rPr>
          <w:rFonts w:cs="Arial"/>
          <w:sz w:val="22"/>
          <w:szCs w:val="22"/>
        </w:rPr>
        <w:t>Elected members undertake training needs analysis linked to the Chartered Institute of Public Finance and Accountancy (CIPFA) Knowledge and Skills Framework. This has resulted in the provision of access to a range of specific reading material and the provision of a programme of learning opportunities targeted at areas of identified need. In addition prior to major decisions coming before the Pension Fund Committee topic based training relating to the decision at hand is provided.</w:t>
      </w:r>
    </w:p>
    <w:p w:rsidR="00D66945" w:rsidRPr="000E0BBC" w:rsidRDefault="00D66945" w:rsidP="00D66945">
      <w:pPr>
        <w:rPr>
          <w:rFonts w:cs="Arial"/>
          <w:sz w:val="22"/>
          <w:szCs w:val="22"/>
        </w:rPr>
      </w:pPr>
      <w:r w:rsidRPr="000E0BBC">
        <w:rPr>
          <w:rFonts w:cs="Arial"/>
          <w:sz w:val="22"/>
          <w:szCs w:val="22"/>
        </w:rPr>
        <w:t xml:space="preserve">All staff are subject to an annual appraisal process which identifies specific training requirements and any knowledge gaps relevant to their role. Staff who are members of professional bodies also have ethical obligations to undertake Continuing Professional Development relevant to their role. </w:t>
      </w:r>
    </w:p>
    <w:p w:rsidR="00D66945" w:rsidRPr="000E0BBC" w:rsidRDefault="00D66945" w:rsidP="00D66945">
      <w:pPr>
        <w:rPr>
          <w:rFonts w:cs="Arial"/>
          <w:sz w:val="22"/>
          <w:szCs w:val="22"/>
        </w:rPr>
      </w:pPr>
    </w:p>
    <w:p w:rsidR="00D66945" w:rsidRPr="000E0BBC" w:rsidRDefault="00D66945" w:rsidP="00D66945">
      <w:pPr>
        <w:rPr>
          <w:rFonts w:cs="Arial"/>
          <w:b/>
          <w:sz w:val="22"/>
          <w:szCs w:val="22"/>
        </w:rPr>
      </w:pPr>
      <w:r w:rsidRPr="000E0BBC">
        <w:rPr>
          <w:rFonts w:cs="Arial"/>
          <w:b/>
          <w:i/>
          <w:sz w:val="22"/>
          <w:szCs w:val="22"/>
        </w:rPr>
        <w:t>Establishment of clear channels of communication with all stakeholders ensuring accountability and encouraging open consultation.</w:t>
      </w:r>
    </w:p>
    <w:p w:rsidR="00D66945" w:rsidRPr="000E0BBC" w:rsidRDefault="00D66945" w:rsidP="00D66945">
      <w:pPr>
        <w:rPr>
          <w:rFonts w:cs="Arial"/>
          <w:sz w:val="22"/>
          <w:szCs w:val="22"/>
        </w:rPr>
      </w:pPr>
      <w:r w:rsidRPr="000E0BBC">
        <w:rPr>
          <w:rFonts w:cs="Arial"/>
          <w:sz w:val="22"/>
          <w:szCs w:val="22"/>
        </w:rPr>
        <w:t>The Fund maintains a Communications Policy Statement as part of its policy framework which sets out the way in which the Fund will engage with specific audiences and on what issues. The key channels of communication are:</w:t>
      </w:r>
    </w:p>
    <w:p w:rsidR="00D66945" w:rsidRPr="000E0BBC" w:rsidRDefault="00D66945" w:rsidP="00D66945">
      <w:pPr>
        <w:rPr>
          <w:rFonts w:cs="Arial"/>
          <w:sz w:val="22"/>
          <w:szCs w:val="22"/>
        </w:rPr>
      </w:pPr>
    </w:p>
    <w:p w:rsidR="00D66945" w:rsidRPr="000E0BBC" w:rsidRDefault="00D66945" w:rsidP="00D66945">
      <w:pPr>
        <w:pStyle w:val="ListParagraph"/>
        <w:numPr>
          <w:ilvl w:val="0"/>
          <w:numId w:val="34"/>
        </w:numPr>
        <w:autoSpaceDE/>
        <w:autoSpaceDN/>
        <w:adjustRightInd/>
        <w:spacing w:after="0" w:line="276" w:lineRule="auto"/>
        <w:jc w:val="left"/>
        <w:rPr>
          <w:rFonts w:cs="Arial"/>
          <w:sz w:val="22"/>
          <w:szCs w:val="22"/>
        </w:rPr>
      </w:pPr>
      <w:r w:rsidRPr="000E0BBC">
        <w:rPr>
          <w:rFonts w:cs="Arial"/>
          <w:sz w:val="22"/>
          <w:szCs w:val="22"/>
        </w:rPr>
        <w:t>Newsletters for active, deferred and pensioner members;</w:t>
      </w:r>
    </w:p>
    <w:p w:rsidR="00D66945" w:rsidRPr="000E0BBC" w:rsidRDefault="00D66945" w:rsidP="00D66945">
      <w:pPr>
        <w:pStyle w:val="ListParagraph"/>
        <w:numPr>
          <w:ilvl w:val="0"/>
          <w:numId w:val="34"/>
        </w:numPr>
        <w:autoSpaceDE/>
        <w:autoSpaceDN/>
        <w:adjustRightInd/>
        <w:spacing w:after="0" w:line="276" w:lineRule="auto"/>
        <w:jc w:val="left"/>
        <w:rPr>
          <w:rFonts w:cs="Arial"/>
          <w:sz w:val="22"/>
          <w:szCs w:val="22"/>
        </w:rPr>
      </w:pPr>
      <w:r w:rsidRPr="000E0BBC">
        <w:rPr>
          <w:rFonts w:cs="Arial"/>
          <w:sz w:val="22"/>
          <w:szCs w:val="22"/>
        </w:rPr>
        <w:t>Campaign materials focussed around scheme changes;</w:t>
      </w:r>
    </w:p>
    <w:p w:rsidR="00D66945" w:rsidRPr="000E0BBC" w:rsidRDefault="00D66945" w:rsidP="00D66945">
      <w:pPr>
        <w:pStyle w:val="ListParagraph"/>
        <w:numPr>
          <w:ilvl w:val="0"/>
          <w:numId w:val="34"/>
        </w:numPr>
        <w:autoSpaceDE/>
        <w:autoSpaceDN/>
        <w:adjustRightInd/>
        <w:spacing w:after="0" w:line="276" w:lineRule="auto"/>
        <w:jc w:val="left"/>
        <w:rPr>
          <w:rFonts w:cs="Arial"/>
          <w:sz w:val="22"/>
          <w:szCs w:val="22"/>
        </w:rPr>
      </w:pPr>
      <w:r w:rsidRPr="000E0BBC">
        <w:rPr>
          <w:rFonts w:cs="Arial"/>
          <w:sz w:val="22"/>
          <w:szCs w:val="22"/>
        </w:rPr>
        <w:t>Workshops, conferences and guidance materials provided to employers</w:t>
      </w:r>
    </w:p>
    <w:p w:rsidR="00D66945" w:rsidRPr="000E0BBC" w:rsidRDefault="00D66945" w:rsidP="00D66945">
      <w:pPr>
        <w:pStyle w:val="ListParagraph"/>
        <w:numPr>
          <w:ilvl w:val="0"/>
          <w:numId w:val="34"/>
        </w:numPr>
        <w:autoSpaceDE/>
        <w:autoSpaceDN/>
        <w:adjustRightInd/>
        <w:spacing w:after="0" w:line="276" w:lineRule="auto"/>
        <w:jc w:val="left"/>
        <w:rPr>
          <w:rFonts w:cs="Arial"/>
          <w:sz w:val="22"/>
          <w:szCs w:val="22"/>
        </w:rPr>
      </w:pPr>
      <w:r w:rsidRPr="000E0BBC">
        <w:rPr>
          <w:rFonts w:cs="Arial"/>
          <w:sz w:val="22"/>
          <w:szCs w:val="22"/>
        </w:rPr>
        <w:t>The Fund's website, which contains transactional capability.</w:t>
      </w:r>
    </w:p>
    <w:p w:rsidR="00D66945" w:rsidRPr="000E0BBC" w:rsidRDefault="00D66945" w:rsidP="00D66945">
      <w:pPr>
        <w:pStyle w:val="ListParagraph"/>
        <w:numPr>
          <w:ilvl w:val="0"/>
          <w:numId w:val="34"/>
        </w:numPr>
        <w:autoSpaceDE/>
        <w:autoSpaceDN/>
        <w:adjustRightInd/>
        <w:spacing w:after="0" w:line="276" w:lineRule="auto"/>
        <w:jc w:val="left"/>
        <w:rPr>
          <w:rFonts w:cs="Arial"/>
          <w:sz w:val="22"/>
          <w:szCs w:val="22"/>
        </w:rPr>
      </w:pPr>
      <w:r w:rsidRPr="000E0BBC">
        <w:rPr>
          <w:rFonts w:cs="Arial"/>
          <w:sz w:val="22"/>
          <w:szCs w:val="22"/>
        </w:rPr>
        <w:t>An annual "brief" for Finance Directors of employer organisations providing information on the performance of the Fund and an update on specific issues of interest, such as the triennial valuation.</w:t>
      </w:r>
    </w:p>
    <w:p w:rsidR="00D66945" w:rsidRPr="000E0BBC" w:rsidRDefault="00D66945" w:rsidP="00D66945">
      <w:pPr>
        <w:pStyle w:val="ListParagraph"/>
        <w:numPr>
          <w:ilvl w:val="0"/>
          <w:numId w:val="34"/>
        </w:numPr>
        <w:autoSpaceDE/>
        <w:autoSpaceDN/>
        <w:adjustRightInd/>
        <w:spacing w:after="0" w:line="276" w:lineRule="auto"/>
        <w:jc w:val="left"/>
        <w:rPr>
          <w:rFonts w:cs="Arial"/>
          <w:sz w:val="22"/>
          <w:szCs w:val="22"/>
        </w:rPr>
      </w:pPr>
      <w:r w:rsidRPr="000E0BBC">
        <w:rPr>
          <w:rFonts w:cs="Arial"/>
          <w:sz w:val="22"/>
          <w:szCs w:val="22"/>
        </w:rPr>
        <w:t>An annual members meeting focussed on the performance of the fund.</w:t>
      </w:r>
    </w:p>
    <w:p w:rsidR="00D66945" w:rsidRPr="000E0BBC" w:rsidRDefault="00D66945" w:rsidP="00D66945">
      <w:pPr>
        <w:pStyle w:val="ListParagraph"/>
        <w:numPr>
          <w:ilvl w:val="0"/>
          <w:numId w:val="34"/>
        </w:numPr>
        <w:autoSpaceDE/>
        <w:autoSpaceDN/>
        <w:adjustRightInd/>
        <w:spacing w:after="0" w:line="276" w:lineRule="auto"/>
        <w:jc w:val="left"/>
        <w:rPr>
          <w:rFonts w:cs="Arial"/>
          <w:i/>
          <w:sz w:val="22"/>
          <w:szCs w:val="22"/>
        </w:rPr>
      </w:pPr>
      <w:r w:rsidRPr="000E0BBC">
        <w:rPr>
          <w:rFonts w:cs="Arial"/>
          <w:sz w:val="22"/>
          <w:szCs w:val="22"/>
        </w:rPr>
        <w:t>The publication of committee papers, minutes and various annual reports and policy documents on the internet.</w:t>
      </w:r>
    </w:p>
    <w:p w:rsidR="005B5C91" w:rsidRPr="000E0BBC" w:rsidRDefault="005B5C91" w:rsidP="00D66945">
      <w:pPr>
        <w:rPr>
          <w:rFonts w:cs="Arial"/>
          <w:i/>
          <w:sz w:val="22"/>
          <w:szCs w:val="22"/>
        </w:rPr>
      </w:pPr>
    </w:p>
    <w:p w:rsidR="00D66945" w:rsidRPr="000E0BBC" w:rsidRDefault="00D66945" w:rsidP="00D66945">
      <w:pPr>
        <w:rPr>
          <w:rFonts w:cs="Arial"/>
          <w:b/>
          <w:i/>
          <w:sz w:val="22"/>
          <w:szCs w:val="22"/>
        </w:rPr>
      </w:pPr>
      <w:r w:rsidRPr="000E0BBC">
        <w:rPr>
          <w:rFonts w:cs="Arial"/>
          <w:b/>
          <w:i/>
          <w:sz w:val="22"/>
          <w:szCs w:val="22"/>
        </w:rPr>
        <w:t>The Incorporation of good governance arrangements in respect of partnerships and other group working and reflecting these in the Fund's overall governance arrangements.</w:t>
      </w:r>
    </w:p>
    <w:p w:rsidR="00D66945" w:rsidRPr="000E0BBC" w:rsidRDefault="00D66945" w:rsidP="00D66945">
      <w:pPr>
        <w:rPr>
          <w:rFonts w:cs="Arial"/>
          <w:sz w:val="22"/>
          <w:szCs w:val="22"/>
        </w:rPr>
      </w:pPr>
      <w:r w:rsidRPr="000E0BBC">
        <w:rPr>
          <w:rFonts w:cs="Arial"/>
          <w:sz w:val="22"/>
          <w:szCs w:val="22"/>
        </w:rPr>
        <w:t xml:space="preserve">The Fund is bound by Lancashire County Council's partnership protocol, which highlights the need for such arrangements to reflect good practice in terms of governance. The Fund itself has a number of "partnerships", which are largely in the form of jointly procured contracts for the provision of services for which suitable governance arrangements are in place. The main arrangement which involves the pension fund is LPP. For all arrangements where there is a relationship between the Fund and another organisation the Fund seeks to spell out clearly the expectations and requirements on each party, whether in contractual form where appropriate or through a form of "service level agreement" where a contract is not appropriate. </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 xml:space="preserve">The Fund seeks to comply with the principles set out in CIPFA's Statement "The Role of the Chief Finance Officer in Local Government", and the arrangements within Lancashire County Council comply with the principles of this statement. The Fund, is not a local authority in its own right and therefore the applicability of some elements of the statement within the context of the Fund is limited. The responsibility for fulfilling the County Council's functions as administering authority rests with the Head of Fund.  </w:t>
      </w:r>
    </w:p>
    <w:p w:rsidR="00D66945" w:rsidRDefault="00D66945" w:rsidP="00D66945">
      <w:pPr>
        <w:rPr>
          <w:rFonts w:cs="Arial"/>
          <w:sz w:val="22"/>
          <w:szCs w:val="22"/>
        </w:rPr>
      </w:pPr>
    </w:p>
    <w:p w:rsidR="005B5C91" w:rsidRDefault="005B5C91" w:rsidP="00D66945">
      <w:pPr>
        <w:rPr>
          <w:rFonts w:cs="Arial"/>
          <w:sz w:val="22"/>
          <w:szCs w:val="22"/>
        </w:rPr>
      </w:pPr>
    </w:p>
    <w:p w:rsidR="005B5C91" w:rsidRDefault="005B5C91" w:rsidP="00D66945">
      <w:pPr>
        <w:rPr>
          <w:rFonts w:cs="Arial"/>
          <w:sz w:val="22"/>
          <w:szCs w:val="22"/>
        </w:rPr>
      </w:pPr>
    </w:p>
    <w:p w:rsidR="005B5C91" w:rsidRDefault="005B5C91" w:rsidP="00D66945">
      <w:pPr>
        <w:rPr>
          <w:rFonts w:cs="Arial"/>
          <w:sz w:val="22"/>
          <w:szCs w:val="22"/>
        </w:rPr>
      </w:pPr>
    </w:p>
    <w:p w:rsidR="005B5C91" w:rsidRPr="000E0BBC" w:rsidRDefault="005B5C91" w:rsidP="00D66945">
      <w:pPr>
        <w:rPr>
          <w:rFonts w:cs="Arial"/>
          <w:sz w:val="22"/>
          <w:szCs w:val="22"/>
        </w:rPr>
      </w:pPr>
    </w:p>
    <w:p w:rsidR="00D66945" w:rsidRPr="000E0BBC" w:rsidRDefault="00D66945" w:rsidP="00D66945">
      <w:pPr>
        <w:rPr>
          <w:rFonts w:cs="Arial"/>
          <w:b/>
          <w:i/>
          <w:sz w:val="22"/>
          <w:szCs w:val="22"/>
        </w:rPr>
      </w:pPr>
      <w:r w:rsidRPr="000E0BBC">
        <w:rPr>
          <w:rFonts w:cs="Arial"/>
          <w:b/>
          <w:i/>
          <w:sz w:val="22"/>
          <w:szCs w:val="22"/>
        </w:rPr>
        <w:lastRenderedPageBreak/>
        <w:t>Review of Effectiveness</w:t>
      </w:r>
    </w:p>
    <w:p w:rsidR="00D66945" w:rsidRPr="000E0BBC" w:rsidRDefault="00D66945" w:rsidP="00D66945">
      <w:pPr>
        <w:rPr>
          <w:rFonts w:cs="Arial"/>
          <w:sz w:val="22"/>
          <w:szCs w:val="22"/>
        </w:rPr>
      </w:pPr>
      <w:r w:rsidRPr="000E0BBC">
        <w:rPr>
          <w:rFonts w:cs="Arial"/>
          <w:sz w:val="22"/>
          <w:szCs w:val="22"/>
        </w:rPr>
        <w:t xml:space="preserve">The Pension Fund Committee is responsible for conducting, an annual review of the effectiveness of its governance framework. This is informed by the work of the Head of the Pension Fund, the Chief Internal Auditor's annual report, and also reports of the external auditor. </w:t>
      </w:r>
    </w:p>
    <w:p w:rsidR="00D66945" w:rsidRPr="000E0BBC" w:rsidRDefault="00D66945" w:rsidP="00D66945">
      <w:pPr>
        <w:rPr>
          <w:rFonts w:cs="Arial"/>
          <w:sz w:val="22"/>
          <w:szCs w:val="22"/>
        </w:rPr>
      </w:pPr>
      <w:r w:rsidRPr="000E0BBC">
        <w:rPr>
          <w:rFonts w:cs="Arial"/>
          <w:sz w:val="22"/>
          <w:szCs w:val="22"/>
        </w:rPr>
        <w:t>The key planned activities of the Fund during 2017/18 were:</w:t>
      </w:r>
    </w:p>
    <w:p w:rsidR="00D66945" w:rsidRPr="000E0BBC" w:rsidRDefault="00D66945" w:rsidP="00D66945">
      <w:pPr>
        <w:rPr>
          <w:rFonts w:cs="Arial"/>
          <w:sz w:val="22"/>
          <w:szCs w:val="22"/>
        </w:rPr>
      </w:pPr>
    </w:p>
    <w:p w:rsidR="00D66945" w:rsidRPr="000E0BBC" w:rsidRDefault="00D66945" w:rsidP="00D66945">
      <w:pPr>
        <w:pStyle w:val="ListParagraph"/>
        <w:numPr>
          <w:ilvl w:val="0"/>
          <w:numId w:val="35"/>
        </w:numPr>
        <w:autoSpaceDE/>
        <w:autoSpaceDN/>
        <w:adjustRightInd/>
        <w:spacing w:after="0" w:line="276" w:lineRule="auto"/>
        <w:jc w:val="left"/>
        <w:rPr>
          <w:rFonts w:cs="Arial"/>
          <w:sz w:val="22"/>
          <w:szCs w:val="22"/>
        </w:rPr>
      </w:pPr>
      <w:r w:rsidRPr="000E0BBC">
        <w:rPr>
          <w:rFonts w:cs="Arial"/>
          <w:sz w:val="22"/>
          <w:szCs w:val="22"/>
        </w:rPr>
        <w:t>To support the new Committee especially by providing appropriate training for new members.</w:t>
      </w:r>
    </w:p>
    <w:p w:rsidR="00D66945" w:rsidRPr="000E0BBC" w:rsidRDefault="00D66945" w:rsidP="00D66945">
      <w:pPr>
        <w:pStyle w:val="ListParagraph"/>
        <w:numPr>
          <w:ilvl w:val="0"/>
          <w:numId w:val="35"/>
        </w:numPr>
        <w:autoSpaceDE/>
        <w:autoSpaceDN/>
        <w:adjustRightInd/>
        <w:spacing w:after="0" w:line="276" w:lineRule="auto"/>
        <w:jc w:val="left"/>
        <w:rPr>
          <w:rFonts w:cs="Arial"/>
          <w:sz w:val="22"/>
          <w:szCs w:val="22"/>
        </w:rPr>
      </w:pPr>
      <w:r w:rsidRPr="000E0BBC">
        <w:rPr>
          <w:rFonts w:cs="Arial"/>
          <w:sz w:val="22"/>
          <w:szCs w:val="22"/>
        </w:rPr>
        <w:t>The review and amend the Admissions and Terminations Policy for implementation from 1 April 2018.</w:t>
      </w:r>
    </w:p>
    <w:p w:rsidR="00D66945" w:rsidRPr="000E0BBC" w:rsidRDefault="00D66945" w:rsidP="00D66945">
      <w:pPr>
        <w:pStyle w:val="ListParagraph"/>
        <w:numPr>
          <w:ilvl w:val="0"/>
          <w:numId w:val="35"/>
        </w:numPr>
        <w:autoSpaceDE/>
        <w:autoSpaceDN/>
        <w:adjustRightInd/>
        <w:spacing w:after="0" w:line="276" w:lineRule="auto"/>
        <w:jc w:val="left"/>
        <w:rPr>
          <w:rFonts w:cs="Arial"/>
          <w:sz w:val="22"/>
          <w:szCs w:val="22"/>
        </w:rPr>
      </w:pPr>
      <w:r w:rsidRPr="000E0BBC">
        <w:rPr>
          <w:rFonts w:cs="Arial"/>
          <w:sz w:val="22"/>
          <w:szCs w:val="22"/>
        </w:rPr>
        <w:t>The production of a new 3 year Strategic Plan.</w:t>
      </w:r>
    </w:p>
    <w:p w:rsidR="00D66945" w:rsidRPr="000E0BBC" w:rsidRDefault="00D66945" w:rsidP="00D66945">
      <w:pPr>
        <w:pStyle w:val="ListParagraph"/>
        <w:numPr>
          <w:ilvl w:val="0"/>
          <w:numId w:val="35"/>
        </w:numPr>
        <w:autoSpaceDE/>
        <w:autoSpaceDN/>
        <w:adjustRightInd/>
        <w:spacing w:after="0" w:line="276" w:lineRule="auto"/>
        <w:jc w:val="left"/>
        <w:rPr>
          <w:rFonts w:cs="Arial"/>
          <w:sz w:val="22"/>
          <w:szCs w:val="22"/>
        </w:rPr>
      </w:pPr>
      <w:r w:rsidRPr="000E0BBC">
        <w:rPr>
          <w:rFonts w:cs="Arial"/>
          <w:sz w:val="22"/>
          <w:szCs w:val="22"/>
        </w:rPr>
        <w:t>The Investment Panel completed a full review of the Fund's investment strategy and recommended some small changes to the asset allocations.</w:t>
      </w:r>
    </w:p>
    <w:p w:rsidR="00D66945" w:rsidRPr="000E0BBC" w:rsidRDefault="00D66945" w:rsidP="00D66945">
      <w:pPr>
        <w:tabs>
          <w:tab w:val="left" w:pos="284"/>
        </w:tabs>
        <w:ind w:hanging="284"/>
        <w:rPr>
          <w:rFonts w:cs="Arial"/>
          <w:sz w:val="22"/>
          <w:szCs w:val="22"/>
        </w:rPr>
      </w:pPr>
    </w:p>
    <w:p w:rsidR="00D66945" w:rsidRPr="000E0BBC" w:rsidRDefault="00D66945" w:rsidP="00D66945">
      <w:pPr>
        <w:rPr>
          <w:rFonts w:cs="Arial"/>
          <w:b/>
          <w:i/>
          <w:sz w:val="22"/>
          <w:szCs w:val="22"/>
        </w:rPr>
      </w:pPr>
      <w:r w:rsidRPr="000E0BBC">
        <w:rPr>
          <w:rFonts w:cs="Arial"/>
          <w:b/>
          <w:i/>
          <w:sz w:val="22"/>
          <w:szCs w:val="22"/>
        </w:rPr>
        <w:t>Actions Planned for 2018/19</w:t>
      </w:r>
    </w:p>
    <w:p w:rsidR="00D66945" w:rsidRPr="000E0BBC" w:rsidRDefault="00D66945" w:rsidP="00D66945">
      <w:pPr>
        <w:rPr>
          <w:rFonts w:cs="Arial"/>
          <w:sz w:val="22"/>
          <w:szCs w:val="22"/>
        </w:rPr>
      </w:pPr>
      <w:r w:rsidRPr="000E0BBC">
        <w:rPr>
          <w:rFonts w:cs="Arial"/>
          <w:sz w:val="22"/>
          <w:szCs w:val="22"/>
        </w:rPr>
        <w:t>The following specific actions are proposed for completion during 2018/19.</w:t>
      </w:r>
    </w:p>
    <w:p w:rsidR="00D66945" w:rsidRPr="000E0BBC" w:rsidRDefault="00D66945" w:rsidP="00D66945">
      <w:pPr>
        <w:rPr>
          <w:rFonts w:cs="Arial"/>
          <w:sz w:val="22"/>
          <w:szCs w:val="22"/>
        </w:rPr>
      </w:pPr>
    </w:p>
    <w:p w:rsidR="00D66945" w:rsidRPr="000E0BBC" w:rsidRDefault="00D66945" w:rsidP="00957C31">
      <w:pPr>
        <w:pStyle w:val="ListParagraph"/>
        <w:numPr>
          <w:ilvl w:val="0"/>
          <w:numId w:val="50"/>
        </w:numPr>
        <w:autoSpaceDE/>
        <w:autoSpaceDN/>
        <w:adjustRightInd/>
        <w:spacing w:after="0" w:line="276" w:lineRule="auto"/>
        <w:jc w:val="left"/>
        <w:rPr>
          <w:rFonts w:cs="Arial"/>
          <w:sz w:val="22"/>
          <w:szCs w:val="22"/>
        </w:rPr>
      </w:pPr>
      <w:r w:rsidRPr="000E0BBC">
        <w:rPr>
          <w:rFonts w:cs="Arial"/>
          <w:sz w:val="22"/>
          <w:szCs w:val="22"/>
        </w:rPr>
        <w:t>Review the Communications Policy</w:t>
      </w:r>
    </w:p>
    <w:p w:rsidR="00D66945" w:rsidRPr="000E0BBC" w:rsidRDefault="00D66945" w:rsidP="00957C31">
      <w:pPr>
        <w:pStyle w:val="ListParagraph"/>
        <w:numPr>
          <w:ilvl w:val="0"/>
          <w:numId w:val="50"/>
        </w:numPr>
        <w:autoSpaceDE/>
        <w:autoSpaceDN/>
        <w:adjustRightInd/>
        <w:spacing w:after="0" w:line="276" w:lineRule="auto"/>
        <w:jc w:val="left"/>
        <w:rPr>
          <w:rFonts w:cs="Arial"/>
          <w:sz w:val="22"/>
          <w:szCs w:val="22"/>
        </w:rPr>
      </w:pPr>
      <w:r w:rsidRPr="000E0BBC">
        <w:rPr>
          <w:rFonts w:cs="Arial"/>
          <w:sz w:val="22"/>
          <w:szCs w:val="22"/>
        </w:rPr>
        <w:t>Continued development of a socially responsible investment policy</w:t>
      </w:r>
    </w:p>
    <w:p w:rsidR="00D66945" w:rsidRPr="000E0BBC" w:rsidRDefault="00D66945" w:rsidP="00957C31">
      <w:pPr>
        <w:pStyle w:val="ListParagraph"/>
        <w:numPr>
          <w:ilvl w:val="0"/>
          <w:numId w:val="50"/>
        </w:numPr>
        <w:autoSpaceDE/>
        <w:autoSpaceDN/>
        <w:adjustRightInd/>
        <w:spacing w:after="0" w:line="276" w:lineRule="auto"/>
        <w:jc w:val="left"/>
        <w:rPr>
          <w:rFonts w:cs="Arial"/>
          <w:sz w:val="22"/>
          <w:szCs w:val="22"/>
        </w:rPr>
      </w:pPr>
      <w:r w:rsidRPr="000E0BBC">
        <w:rPr>
          <w:rFonts w:cs="Arial"/>
          <w:sz w:val="22"/>
          <w:szCs w:val="22"/>
        </w:rPr>
        <w:t>Monitor Pensions administration including impact of LPP's administration transformation plan</w:t>
      </w:r>
    </w:p>
    <w:p w:rsidR="00D66945" w:rsidRPr="000E0BBC" w:rsidRDefault="00D66945" w:rsidP="00957C31">
      <w:pPr>
        <w:pStyle w:val="ListParagraph"/>
        <w:numPr>
          <w:ilvl w:val="0"/>
          <w:numId w:val="50"/>
        </w:numPr>
        <w:autoSpaceDE/>
        <w:autoSpaceDN/>
        <w:adjustRightInd/>
        <w:spacing w:after="0" w:line="276" w:lineRule="auto"/>
        <w:jc w:val="left"/>
        <w:rPr>
          <w:rFonts w:cs="Arial"/>
          <w:sz w:val="22"/>
          <w:szCs w:val="22"/>
        </w:rPr>
      </w:pPr>
      <w:r w:rsidRPr="000E0BBC">
        <w:rPr>
          <w:rFonts w:cs="Arial"/>
          <w:sz w:val="22"/>
          <w:szCs w:val="22"/>
        </w:rPr>
        <w:t>To review the compliance of employers and undertake an assessment of the risk they pose to the Fund.</w:t>
      </w:r>
    </w:p>
    <w:p w:rsidR="00D66945" w:rsidRPr="000E0BBC" w:rsidRDefault="00D66945" w:rsidP="00D66945">
      <w:pPr>
        <w:pStyle w:val="ListParagraph"/>
        <w:rPr>
          <w:rFonts w:cs="Arial"/>
          <w:sz w:val="22"/>
          <w:szCs w:val="22"/>
        </w:rPr>
      </w:pPr>
    </w:p>
    <w:p w:rsidR="005B5C91" w:rsidRDefault="005B5C91" w:rsidP="00D66945">
      <w:pPr>
        <w:rPr>
          <w:rFonts w:cs="Arial"/>
          <w:sz w:val="22"/>
          <w:szCs w:val="22"/>
        </w:rPr>
      </w:pPr>
    </w:p>
    <w:p w:rsidR="005B5C91" w:rsidRDefault="005B5C91"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Signed</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w:t>
      </w:r>
      <w:r w:rsidRPr="000E0BBC">
        <w:rPr>
          <w:rFonts w:cs="Arial"/>
          <w:sz w:val="22"/>
          <w:szCs w:val="22"/>
        </w:rPr>
        <w:tab/>
      </w:r>
      <w:r w:rsidRPr="000E0BBC">
        <w:rPr>
          <w:rFonts w:cs="Arial"/>
          <w:sz w:val="22"/>
          <w:szCs w:val="22"/>
        </w:rPr>
        <w:tab/>
      </w:r>
      <w:r w:rsidRPr="000E0BBC">
        <w:rPr>
          <w:rFonts w:cs="Arial"/>
          <w:sz w:val="22"/>
          <w:szCs w:val="22"/>
        </w:rPr>
        <w:tab/>
        <w:t>………………………………………..</w:t>
      </w:r>
    </w:p>
    <w:p w:rsidR="00D66945" w:rsidRPr="000E0BBC" w:rsidRDefault="00D66945" w:rsidP="00D66945">
      <w:pPr>
        <w:rPr>
          <w:rFonts w:cs="Arial"/>
          <w:sz w:val="22"/>
          <w:szCs w:val="22"/>
        </w:rPr>
      </w:pPr>
      <w:r w:rsidRPr="000E0BBC">
        <w:rPr>
          <w:rFonts w:cs="Arial"/>
          <w:sz w:val="22"/>
          <w:szCs w:val="22"/>
        </w:rPr>
        <w:t>County Councillor Eddie Pope</w:t>
      </w:r>
      <w:r w:rsidRPr="000E0BBC">
        <w:rPr>
          <w:rFonts w:cs="Arial"/>
          <w:sz w:val="22"/>
          <w:szCs w:val="22"/>
        </w:rPr>
        <w:tab/>
      </w:r>
      <w:r w:rsidRPr="000E0BBC">
        <w:rPr>
          <w:rFonts w:cs="Arial"/>
          <w:sz w:val="22"/>
          <w:szCs w:val="22"/>
        </w:rPr>
        <w:tab/>
        <w:t xml:space="preserve">           Abigail Leech</w:t>
      </w:r>
    </w:p>
    <w:p w:rsidR="00D66945" w:rsidRPr="000E0BBC" w:rsidRDefault="00D66945" w:rsidP="00D66945">
      <w:pPr>
        <w:rPr>
          <w:rFonts w:cs="Arial"/>
          <w:sz w:val="22"/>
          <w:szCs w:val="22"/>
        </w:rPr>
      </w:pPr>
      <w:r w:rsidRPr="000E0BBC">
        <w:rPr>
          <w:rFonts w:cs="Arial"/>
          <w:sz w:val="22"/>
          <w:szCs w:val="22"/>
        </w:rPr>
        <w:t>Chair of the Pension Fund Committee</w:t>
      </w:r>
      <w:r w:rsidRPr="000E0BBC">
        <w:rPr>
          <w:rFonts w:cs="Arial"/>
          <w:sz w:val="22"/>
          <w:szCs w:val="22"/>
        </w:rPr>
        <w:tab/>
      </w:r>
      <w:r w:rsidRPr="000E0BBC">
        <w:rPr>
          <w:rFonts w:cs="Arial"/>
          <w:sz w:val="22"/>
          <w:szCs w:val="22"/>
        </w:rPr>
        <w:tab/>
        <w:t>Head of Fund</w:t>
      </w:r>
    </w:p>
    <w:p w:rsidR="00D66945" w:rsidRPr="000E0BBC" w:rsidRDefault="00D66945" w:rsidP="00D66945">
      <w:pPr>
        <w:rPr>
          <w:rFonts w:cs="Arial"/>
          <w:sz w:val="22"/>
          <w:szCs w:val="22"/>
        </w:rPr>
      </w:pPr>
      <w:r w:rsidRPr="000E0BBC">
        <w:rPr>
          <w:rFonts w:cs="Arial"/>
          <w:sz w:val="22"/>
          <w:szCs w:val="22"/>
        </w:rPr>
        <w:tab/>
      </w:r>
      <w:r w:rsidRPr="000E0BBC">
        <w:rPr>
          <w:rFonts w:cs="Arial"/>
          <w:sz w:val="22"/>
          <w:szCs w:val="22"/>
        </w:rPr>
        <w:tab/>
      </w:r>
      <w:r w:rsidRPr="000E0BBC">
        <w:rPr>
          <w:rFonts w:cs="Arial"/>
          <w:sz w:val="22"/>
          <w:szCs w:val="22"/>
        </w:rPr>
        <w:tab/>
      </w:r>
      <w:r w:rsidRPr="000E0BBC">
        <w:rPr>
          <w:rFonts w:cs="Arial"/>
          <w:sz w:val="22"/>
          <w:szCs w:val="22"/>
        </w:rPr>
        <w:tab/>
      </w:r>
      <w:r w:rsidRPr="000E0BBC">
        <w:rPr>
          <w:rFonts w:cs="Arial"/>
          <w:sz w:val="22"/>
          <w:szCs w:val="22"/>
        </w:rPr>
        <w:tab/>
      </w:r>
      <w:r w:rsidRPr="000E0BBC">
        <w:rPr>
          <w:rFonts w:cs="Arial"/>
          <w:sz w:val="22"/>
          <w:szCs w:val="22"/>
        </w:rPr>
        <w:tab/>
      </w:r>
      <w:r w:rsidRPr="000E0BBC">
        <w:rPr>
          <w:rFonts w:cs="Arial"/>
          <w:sz w:val="22"/>
          <w:szCs w:val="22"/>
        </w:rPr>
        <w:tab/>
        <w:t>Lancashire County Pension Fund</w:t>
      </w:r>
    </w:p>
    <w:p w:rsidR="00D66945" w:rsidRPr="000E0BBC" w:rsidRDefault="00D66945" w:rsidP="00D66945">
      <w:pPr>
        <w:rPr>
          <w:rFonts w:cs="Arial"/>
          <w:sz w:val="22"/>
          <w:szCs w:val="22"/>
        </w:rPr>
      </w:pPr>
    </w:p>
    <w:p w:rsidR="00D66945" w:rsidRPr="000E0BBC" w:rsidRDefault="00D66945" w:rsidP="00D66945">
      <w:pPr>
        <w:rPr>
          <w:rFonts w:cs="Arial"/>
          <w:sz w:val="22"/>
          <w:szCs w:val="22"/>
        </w:rPr>
      </w:pPr>
      <w:r w:rsidRPr="000E0BBC">
        <w:rPr>
          <w:rFonts w:cs="Arial"/>
          <w:sz w:val="22"/>
          <w:szCs w:val="22"/>
        </w:rPr>
        <w:t>Date: …………………………………</w:t>
      </w:r>
    </w:p>
    <w:p w:rsidR="00D66945" w:rsidRPr="000E0BBC" w:rsidRDefault="00D66945" w:rsidP="00D66945">
      <w:pPr>
        <w:rPr>
          <w:rFonts w:eastAsia="Arial Unicode MS" w:cs="Arial"/>
          <w:b/>
          <w:sz w:val="22"/>
          <w:szCs w:val="22"/>
        </w:rPr>
      </w:pPr>
    </w:p>
    <w:p w:rsidR="00D66945" w:rsidRPr="000E0BBC" w:rsidRDefault="00D66945" w:rsidP="00D66945">
      <w:pPr>
        <w:rPr>
          <w:rFonts w:eastAsia="Arial Unicode MS" w:cs="Arial"/>
          <w:b/>
          <w:sz w:val="22"/>
          <w:szCs w:val="22"/>
        </w:rPr>
      </w:pPr>
    </w:p>
    <w:p w:rsidR="00D66945" w:rsidRPr="000E0BBC" w:rsidRDefault="00D66945" w:rsidP="00D66945">
      <w:pPr>
        <w:rPr>
          <w:rFonts w:eastAsia="Arial Unicode MS" w:cs="Arial"/>
          <w:b/>
          <w:sz w:val="22"/>
          <w:szCs w:val="22"/>
        </w:rPr>
      </w:pPr>
    </w:p>
    <w:p w:rsidR="00D66945" w:rsidRDefault="00D66945" w:rsidP="00D66945">
      <w:pPr>
        <w:rPr>
          <w:rFonts w:eastAsia="Arial Unicode MS" w:cs="Arial"/>
          <w:b/>
          <w:sz w:val="22"/>
          <w:szCs w:val="22"/>
        </w:rPr>
      </w:pPr>
    </w:p>
    <w:p w:rsidR="005B5C91" w:rsidRDefault="005B5C91" w:rsidP="00D66945">
      <w:pPr>
        <w:rPr>
          <w:rFonts w:eastAsia="Arial Unicode MS" w:cs="Arial"/>
          <w:b/>
          <w:sz w:val="22"/>
          <w:szCs w:val="22"/>
        </w:rPr>
      </w:pPr>
    </w:p>
    <w:p w:rsidR="005B5C91" w:rsidRDefault="005B5C91" w:rsidP="00D66945">
      <w:pPr>
        <w:rPr>
          <w:rFonts w:eastAsia="Arial Unicode MS" w:cs="Arial"/>
          <w:b/>
          <w:sz w:val="22"/>
          <w:szCs w:val="22"/>
        </w:rPr>
      </w:pPr>
    </w:p>
    <w:p w:rsidR="005B5C91" w:rsidRPr="000E0BBC" w:rsidRDefault="005B5C91" w:rsidP="00D66945">
      <w:pPr>
        <w:rPr>
          <w:rFonts w:eastAsia="Arial Unicode MS" w:cs="Arial"/>
          <w:b/>
          <w:sz w:val="22"/>
          <w:szCs w:val="22"/>
        </w:rPr>
      </w:pPr>
    </w:p>
    <w:p w:rsidR="00D66945" w:rsidRPr="000E0BBC" w:rsidRDefault="00D66945" w:rsidP="00D66945">
      <w:pPr>
        <w:rPr>
          <w:rFonts w:eastAsia="Arial Unicode MS" w:cs="Arial"/>
          <w:b/>
          <w:sz w:val="22"/>
          <w:szCs w:val="22"/>
        </w:rPr>
      </w:pPr>
    </w:p>
    <w:p w:rsidR="00D66945" w:rsidRPr="00A62FE5" w:rsidRDefault="00D66945" w:rsidP="00D66945">
      <w:pPr>
        <w:rPr>
          <w:rFonts w:eastAsia="Arial Unicode MS" w:cs="Arial"/>
          <w:b/>
          <w:bCs/>
          <w:sz w:val="32"/>
          <w:szCs w:val="32"/>
          <w:lang w:eastAsia="en-GB"/>
        </w:rPr>
      </w:pPr>
      <w:r w:rsidRPr="00A62FE5">
        <w:rPr>
          <w:rFonts w:eastAsia="Arial Unicode MS" w:cs="Arial"/>
          <w:b/>
          <w:bCs/>
          <w:sz w:val="32"/>
          <w:szCs w:val="32"/>
          <w:lang w:eastAsia="en-GB"/>
        </w:rPr>
        <w:lastRenderedPageBreak/>
        <w:t>Independent auditor’s report to the members of Lancashire County Council  - Lancashire County Pension Fund</w:t>
      </w:r>
    </w:p>
    <w:p w:rsidR="00D66945" w:rsidRPr="007828C4" w:rsidRDefault="00D66945" w:rsidP="00D66945">
      <w:pPr>
        <w:keepNext/>
        <w:outlineLvl w:val="0"/>
        <w:rPr>
          <w:rFonts w:eastAsia="Arial Unicode MS" w:cs="Arial"/>
          <w:bCs/>
          <w:sz w:val="22"/>
          <w:szCs w:val="22"/>
          <w:highlight w:val="magenta"/>
          <w:lang w:eastAsia="en-GB"/>
        </w:rPr>
      </w:pPr>
    </w:p>
    <w:p w:rsidR="00D66945" w:rsidRPr="007828C4" w:rsidRDefault="00D66945" w:rsidP="00D66945">
      <w:pPr>
        <w:pStyle w:val="NormalWeb"/>
        <w:spacing w:before="0" w:beforeAutospacing="0" w:after="0" w:afterAutospacing="0"/>
        <w:jc w:val="both"/>
        <w:rPr>
          <w:rFonts w:ascii="Arial" w:eastAsia="Arial Unicode MS" w:hAnsi="Arial" w:cs="Arial"/>
          <w:color w:val="000000"/>
          <w:kern w:val="24"/>
          <w:sz w:val="22"/>
          <w:szCs w:val="22"/>
        </w:rPr>
      </w:pPr>
      <w:r w:rsidRPr="007828C4">
        <w:rPr>
          <w:rFonts w:ascii="Arial" w:eastAsia="Arial Unicode MS" w:hAnsi="Arial" w:cs="Arial"/>
          <w:color w:val="000000"/>
          <w:kern w:val="24"/>
          <w:sz w:val="22"/>
          <w:szCs w:val="22"/>
          <w:highlight w:val="yellow"/>
        </w:rPr>
        <w:t>The published version will include the Audit Certification on this page.</w:t>
      </w: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color w:val="FF0000"/>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pStyle w:val="NormalWeb"/>
        <w:spacing w:before="0" w:beforeAutospacing="0" w:after="0" w:afterAutospacing="0"/>
        <w:jc w:val="both"/>
        <w:rPr>
          <w:rFonts w:ascii="Arial" w:eastAsia="Arial Unicode MS" w:hAnsi="Arial" w:cs="Arial"/>
          <w:color w:val="000000"/>
          <w:kern w:val="24"/>
          <w:sz w:val="22"/>
          <w:szCs w:val="22"/>
        </w:rPr>
      </w:pPr>
      <w:r w:rsidRPr="007828C4">
        <w:rPr>
          <w:rFonts w:ascii="Arial" w:eastAsia="Arial Unicode MS" w:hAnsi="Arial" w:cs="Arial"/>
          <w:color w:val="000000"/>
          <w:kern w:val="24"/>
          <w:sz w:val="22"/>
          <w:szCs w:val="22"/>
          <w:highlight w:val="yellow"/>
        </w:rPr>
        <w:lastRenderedPageBreak/>
        <w:t>The published version will include the Audit Certification on this page.</w:t>
      </w: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28"/>
          <w:szCs w:val="22"/>
        </w:rPr>
      </w:pPr>
    </w:p>
    <w:p w:rsidR="00D66945" w:rsidRPr="007828C4" w:rsidRDefault="00D66945" w:rsidP="00D66945">
      <w:pPr>
        <w:rPr>
          <w:rFonts w:eastAsia="Arial Unicode MS" w:cs="Arial"/>
          <w:b/>
          <w:bCs/>
          <w:sz w:val="32"/>
          <w:szCs w:val="22"/>
        </w:rPr>
      </w:pPr>
      <w:r w:rsidRPr="007828C4">
        <w:rPr>
          <w:rFonts w:eastAsia="Arial Unicode MS" w:cs="Arial"/>
          <w:b/>
          <w:bCs/>
          <w:sz w:val="32"/>
          <w:szCs w:val="22"/>
        </w:rPr>
        <w:lastRenderedPageBreak/>
        <w:t>LANCASHIRE COUNTY PENSION</w:t>
      </w:r>
      <w:r w:rsidRPr="007828C4">
        <w:rPr>
          <w:rFonts w:eastAsia="Arial Unicode MS" w:cs="Arial"/>
          <w:sz w:val="32"/>
          <w:szCs w:val="22"/>
        </w:rPr>
        <w:t xml:space="preserve"> </w:t>
      </w:r>
      <w:r w:rsidRPr="007828C4">
        <w:rPr>
          <w:rFonts w:eastAsia="Arial Unicode MS" w:cs="Arial"/>
          <w:b/>
          <w:bCs/>
          <w:sz w:val="32"/>
          <w:szCs w:val="22"/>
        </w:rPr>
        <w:t xml:space="preserve">FUND </w:t>
      </w:r>
    </w:p>
    <w:p w:rsidR="00D66945" w:rsidRDefault="00D66945" w:rsidP="00D66945">
      <w:pPr>
        <w:keepNext/>
        <w:outlineLvl w:val="4"/>
        <w:rPr>
          <w:rFonts w:eastAsia="Arial Unicode MS" w:cs="Arial"/>
          <w:b/>
          <w:bCs/>
          <w:sz w:val="32"/>
          <w:szCs w:val="22"/>
        </w:rPr>
      </w:pPr>
    </w:p>
    <w:p w:rsidR="00D66945" w:rsidRPr="007828C4" w:rsidRDefault="00D66945" w:rsidP="00D66945">
      <w:pPr>
        <w:keepNext/>
        <w:outlineLvl w:val="4"/>
        <w:rPr>
          <w:rFonts w:eastAsia="Arial Unicode MS" w:cs="Arial"/>
          <w:b/>
          <w:sz w:val="22"/>
          <w:szCs w:val="22"/>
        </w:rPr>
      </w:pPr>
      <w:r w:rsidRPr="007828C4">
        <w:rPr>
          <w:rFonts w:eastAsia="Arial Unicode MS" w:cs="Arial"/>
          <w:b/>
          <w:bCs/>
          <w:sz w:val="32"/>
          <w:szCs w:val="22"/>
        </w:rPr>
        <w:t>Fund account</w:t>
      </w:r>
    </w:p>
    <w:tbl>
      <w:tblPr>
        <w:tblW w:w="10476"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2003"/>
        <w:gridCol w:w="5701"/>
        <w:gridCol w:w="770"/>
        <w:gridCol w:w="2002"/>
      </w:tblGrid>
      <w:tr w:rsidR="00D66945" w:rsidRPr="007828C4" w:rsidTr="00A33453">
        <w:trPr>
          <w:trHeight w:val="265"/>
        </w:trPr>
        <w:tc>
          <w:tcPr>
            <w:tcW w:w="2003"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20"/>
              </w:rPr>
            </w:pPr>
            <w:r w:rsidRPr="007828C4">
              <w:rPr>
                <w:rFonts w:eastAsia="Arial Unicode MS" w:cs="Arial"/>
                <w:b/>
                <w:sz w:val="20"/>
                <w:szCs w:val="20"/>
              </w:rPr>
              <w:t>2016/17</w:t>
            </w:r>
          </w:p>
        </w:tc>
        <w:tc>
          <w:tcPr>
            <w:tcW w:w="5701" w:type="dxa"/>
            <w:tcBorders>
              <w:bottom w:val="nil"/>
            </w:tcBorders>
            <w:shd w:val="clear" w:color="auto" w:fill="E7E6E6" w:themeFill="background2"/>
          </w:tcPr>
          <w:p w:rsidR="00D66945" w:rsidRPr="007828C4" w:rsidRDefault="00D66945" w:rsidP="00A33453">
            <w:pPr>
              <w:jc w:val="center"/>
              <w:rPr>
                <w:rFonts w:eastAsia="Arial Unicode MS" w:cs="Arial"/>
                <w:b/>
                <w:sz w:val="20"/>
                <w:szCs w:val="20"/>
              </w:rPr>
            </w:pPr>
          </w:p>
        </w:tc>
        <w:tc>
          <w:tcPr>
            <w:tcW w:w="770" w:type="dxa"/>
            <w:tcBorders>
              <w:bottom w:val="nil"/>
            </w:tcBorders>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20"/>
              </w:rPr>
            </w:pPr>
            <w:r w:rsidRPr="007828C4">
              <w:rPr>
                <w:rFonts w:eastAsia="Arial Unicode MS" w:cs="Arial"/>
                <w:b/>
                <w:sz w:val="20"/>
                <w:szCs w:val="20"/>
              </w:rPr>
              <w:t>Note</w:t>
            </w:r>
          </w:p>
        </w:tc>
        <w:tc>
          <w:tcPr>
            <w:tcW w:w="2002"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20"/>
              </w:rPr>
            </w:pPr>
            <w:r>
              <w:rPr>
                <w:rFonts w:eastAsia="Arial Unicode MS" w:cs="Arial"/>
                <w:b/>
                <w:sz w:val="20"/>
                <w:szCs w:val="20"/>
              </w:rPr>
              <w:t>2017/18</w:t>
            </w:r>
          </w:p>
        </w:tc>
      </w:tr>
      <w:tr w:rsidR="00D66945" w:rsidRPr="007828C4" w:rsidTr="00A33453">
        <w:trPr>
          <w:trHeight w:val="265"/>
        </w:trPr>
        <w:tc>
          <w:tcPr>
            <w:tcW w:w="2003"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20"/>
              </w:rPr>
            </w:pPr>
            <w:r w:rsidRPr="007828C4">
              <w:rPr>
                <w:rFonts w:eastAsia="Arial Unicode MS" w:cs="Arial"/>
                <w:b/>
                <w:sz w:val="20"/>
                <w:szCs w:val="20"/>
              </w:rPr>
              <w:t>£m</w:t>
            </w:r>
          </w:p>
        </w:tc>
        <w:tc>
          <w:tcPr>
            <w:tcW w:w="5701" w:type="dxa"/>
            <w:tcBorders>
              <w:top w:val="nil"/>
            </w:tcBorders>
            <w:shd w:val="clear" w:color="auto" w:fill="E7E6E6" w:themeFill="background2"/>
          </w:tcPr>
          <w:p w:rsidR="00D66945" w:rsidRPr="007828C4" w:rsidRDefault="00D66945" w:rsidP="00A33453">
            <w:pPr>
              <w:jc w:val="center"/>
              <w:rPr>
                <w:rFonts w:eastAsia="Arial Unicode MS" w:cs="Arial"/>
                <w:b/>
                <w:sz w:val="20"/>
                <w:szCs w:val="20"/>
              </w:rPr>
            </w:pPr>
          </w:p>
        </w:tc>
        <w:tc>
          <w:tcPr>
            <w:tcW w:w="770" w:type="dxa"/>
            <w:tcBorders>
              <w:top w:val="nil"/>
            </w:tcBorders>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20"/>
              </w:rPr>
            </w:pPr>
          </w:p>
        </w:tc>
        <w:tc>
          <w:tcPr>
            <w:tcW w:w="2002"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3"/>
        </w:trPr>
        <w:tc>
          <w:tcPr>
            <w:tcW w:w="200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5701" w:type="dxa"/>
            <w:shd w:val="clear" w:color="auto" w:fill="E7E6E6" w:themeFill="background2"/>
            <w:vAlign w:val="center"/>
          </w:tcPr>
          <w:p w:rsidR="00D66945" w:rsidRPr="007828C4" w:rsidRDefault="00D66945" w:rsidP="00A33453">
            <w:pPr>
              <w:rPr>
                <w:rFonts w:eastAsia="Arial Unicode MS" w:cs="Arial"/>
                <w:sz w:val="20"/>
                <w:szCs w:val="20"/>
              </w:rPr>
            </w:pPr>
            <w:r w:rsidRPr="007828C4">
              <w:rPr>
                <w:rFonts w:eastAsia="Arial Unicode MS" w:cs="Arial"/>
                <w:b/>
                <w:sz w:val="20"/>
                <w:szCs w:val="20"/>
              </w:rPr>
              <w:t>Dealing with members, employers and others directly involved in the Fund</w:t>
            </w:r>
          </w:p>
        </w:tc>
        <w:tc>
          <w:tcPr>
            <w:tcW w:w="770"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2002"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r>
      <w:tr w:rsidR="00D66945" w:rsidRPr="007828C4" w:rsidTr="00A33453">
        <w:trPr>
          <w:trHeight w:val="433"/>
        </w:trPr>
        <w:tc>
          <w:tcPr>
            <w:tcW w:w="2003"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245.5</w:t>
            </w:r>
          </w:p>
        </w:tc>
        <w:tc>
          <w:tcPr>
            <w:tcW w:w="5701" w:type="dxa"/>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0"/>
              </w:rPr>
              <w:t>Contributions</w:t>
            </w:r>
          </w:p>
        </w:tc>
        <w:tc>
          <w:tcPr>
            <w:tcW w:w="770" w:type="dxa"/>
            <w:vAlign w:val="center"/>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r w:rsidRPr="007828C4">
              <w:rPr>
                <w:rFonts w:eastAsia="Arial Unicode MS" w:cs="Arial"/>
                <w:sz w:val="20"/>
                <w:szCs w:val="20"/>
              </w:rPr>
              <w:t>6</w:t>
            </w:r>
          </w:p>
        </w:tc>
        <w:tc>
          <w:tcPr>
            <w:tcW w:w="2002"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237.9</w:t>
            </w:r>
          </w:p>
        </w:tc>
      </w:tr>
      <w:tr w:rsidR="00D66945" w:rsidRPr="007828C4" w:rsidTr="00A33453">
        <w:trPr>
          <w:trHeight w:val="433"/>
        </w:trPr>
        <w:tc>
          <w:tcPr>
            <w:tcW w:w="2003"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10.9</w:t>
            </w:r>
          </w:p>
        </w:tc>
        <w:tc>
          <w:tcPr>
            <w:tcW w:w="5701" w:type="dxa"/>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0"/>
              </w:rPr>
              <w:t>Transfers in from other pension funds</w:t>
            </w:r>
          </w:p>
        </w:tc>
        <w:tc>
          <w:tcPr>
            <w:tcW w:w="770" w:type="dxa"/>
            <w:shd w:val="clear" w:color="auto" w:fill="auto"/>
            <w:vAlign w:val="center"/>
          </w:tcPr>
          <w:p w:rsidR="00D66945" w:rsidRPr="007828C4" w:rsidRDefault="00D66945" w:rsidP="00A33453">
            <w:pPr>
              <w:tabs>
                <w:tab w:val="left" w:pos="2160"/>
                <w:tab w:val="left" w:pos="6885"/>
              </w:tabs>
              <w:spacing w:after="60"/>
              <w:jc w:val="center"/>
              <w:rPr>
                <w:rFonts w:eastAsia="Arial Unicode MS" w:cs="Arial"/>
                <w:sz w:val="20"/>
                <w:szCs w:val="20"/>
              </w:rPr>
            </w:pPr>
            <w:r w:rsidRPr="007828C4">
              <w:rPr>
                <w:rFonts w:eastAsia="Arial Unicode MS" w:cs="Arial"/>
                <w:sz w:val="20"/>
                <w:szCs w:val="20"/>
              </w:rPr>
              <w:t>7</w:t>
            </w:r>
          </w:p>
        </w:tc>
        <w:tc>
          <w:tcPr>
            <w:tcW w:w="2002"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004A09">
              <w:rPr>
                <w:rFonts w:eastAsia="Arial Unicode MS" w:cs="Arial"/>
                <w:sz w:val="20"/>
                <w:szCs w:val="20"/>
              </w:rPr>
              <w:t>11.5</w:t>
            </w:r>
          </w:p>
        </w:tc>
      </w:tr>
      <w:tr w:rsidR="00D66945" w:rsidRPr="007828C4" w:rsidTr="00A33453">
        <w:trPr>
          <w:trHeight w:val="433"/>
        </w:trPr>
        <w:tc>
          <w:tcPr>
            <w:tcW w:w="2003"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256.4</w:t>
            </w: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sz w:val="20"/>
                <w:szCs w:val="20"/>
              </w:rPr>
            </w:pPr>
          </w:p>
        </w:tc>
        <w:tc>
          <w:tcPr>
            <w:tcW w:w="770" w:type="dxa"/>
            <w:shd w:val="clear" w:color="auto" w:fill="E7E6E6" w:themeFill="background2"/>
            <w:vAlign w:val="center"/>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p>
        </w:tc>
        <w:tc>
          <w:tcPr>
            <w:tcW w:w="2002"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249.4</w:t>
            </w:r>
          </w:p>
        </w:tc>
      </w:tr>
      <w:tr w:rsidR="00D66945" w:rsidRPr="007828C4" w:rsidTr="00A33453">
        <w:trPr>
          <w:trHeight w:val="433"/>
        </w:trPr>
        <w:tc>
          <w:tcPr>
            <w:tcW w:w="2003"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(261.1)</w:t>
            </w:r>
          </w:p>
        </w:tc>
        <w:tc>
          <w:tcPr>
            <w:tcW w:w="5701" w:type="dxa"/>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0"/>
              </w:rPr>
              <w:t>Benefits</w:t>
            </w:r>
          </w:p>
        </w:tc>
        <w:tc>
          <w:tcPr>
            <w:tcW w:w="770" w:type="dxa"/>
            <w:shd w:val="clear" w:color="auto" w:fill="auto"/>
            <w:vAlign w:val="center"/>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r w:rsidRPr="007828C4">
              <w:rPr>
                <w:rFonts w:eastAsia="Arial Unicode MS" w:cs="Arial"/>
                <w:sz w:val="20"/>
                <w:szCs w:val="20"/>
              </w:rPr>
              <w:t>8</w:t>
            </w:r>
          </w:p>
        </w:tc>
        <w:tc>
          <w:tcPr>
            <w:tcW w:w="2002"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004A09">
              <w:rPr>
                <w:rFonts w:eastAsia="Arial Unicode MS" w:cs="Arial"/>
                <w:sz w:val="20"/>
                <w:szCs w:val="20"/>
              </w:rPr>
              <w:t>(254.8)</w:t>
            </w:r>
          </w:p>
        </w:tc>
      </w:tr>
      <w:tr w:rsidR="00D66945" w:rsidRPr="007828C4" w:rsidTr="00A33453">
        <w:trPr>
          <w:trHeight w:val="433"/>
        </w:trPr>
        <w:tc>
          <w:tcPr>
            <w:tcW w:w="2003"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(15.7)</w:t>
            </w:r>
          </w:p>
        </w:tc>
        <w:tc>
          <w:tcPr>
            <w:tcW w:w="5701" w:type="dxa"/>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0"/>
              </w:rPr>
              <w:t>Payments to and on account of leavers</w:t>
            </w:r>
          </w:p>
        </w:tc>
        <w:tc>
          <w:tcPr>
            <w:tcW w:w="770" w:type="dxa"/>
            <w:vAlign w:val="center"/>
          </w:tcPr>
          <w:p w:rsidR="00D66945" w:rsidRPr="007828C4" w:rsidRDefault="00D66945" w:rsidP="00A33453">
            <w:pPr>
              <w:tabs>
                <w:tab w:val="left" w:pos="2160"/>
                <w:tab w:val="left" w:pos="6885"/>
              </w:tabs>
              <w:spacing w:after="60"/>
              <w:jc w:val="center"/>
              <w:rPr>
                <w:rFonts w:eastAsia="Arial Unicode MS" w:cs="Arial"/>
                <w:sz w:val="20"/>
                <w:szCs w:val="20"/>
              </w:rPr>
            </w:pPr>
            <w:r w:rsidRPr="007828C4">
              <w:rPr>
                <w:rFonts w:eastAsia="Arial Unicode MS" w:cs="Arial"/>
                <w:sz w:val="20"/>
                <w:szCs w:val="20"/>
              </w:rPr>
              <w:t>9</w:t>
            </w:r>
          </w:p>
        </w:tc>
        <w:tc>
          <w:tcPr>
            <w:tcW w:w="2002"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004A09">
              <w:rPr>
                <w:rFonts w:eastAsia="Arial Unicode MS" w:cs="Arial"/>
                <w:sz w:val="20"/>
                <w:szCs w:val="20"/>
              </w:rPr>
              <w:t>(17.9)</w:t>
            </w:r>
          </w:p>
        </w:tc>
      </w:tr>
      <w:tr w:rsidR="00D66945" w:rsidRPr="007828C4" w:rsidTr="00A33453">
        <w:trPr>
          <w:trHeight w:val="433"/>
        </w:trPr>
        <w:tc>
          <w:tcPr>
            <w:tcW w:w="2003"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(276.7)</w:t>
            </w: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b/>
                <w:sz w:val="20"/>
                <w:szCs w:val="20"/>
              </w:rPr>
            </w:pPr>
          </w:p>
        </w:tc>
        <w:tc>
          <w:tcPr>
            <w:tcW w:w="770" w:type="dxa"/>
            <w:shd w:val="clear" w:color="auto" w:fill="E7E6E6" w:themeFill="background2"/>
          </w:tcPr>
          <w:p w:rsidR="00D66945" w:rsidRPr="007828C4" w:rsidRDefault="00D66945" w:rsidP="00A33453">
            <w:pPr>
              <w:tabs>
                <w:tab w:val="left" w:pos="2160"/>
                <w:tab w:val="left" w:pos="6885"/>
              </w:tabs>
              <w:spacing w:after="60"/>
              <w:jc w:val="center"/>
              <w:rPr>
                <w:rFonts w:eastAsia="Arial Unicode MS" w:cs="Arial"/>
                <w:b/>
                <w:sz w:val="20"/>
                <w:szCs w:val="20"/>
                <w:highlight w:val="magenta"/>
              </w:rPr>
            </w:pPr>
          </w:p>
        </w:tc>
        <w:tc>
          <w:tcPr>
            <w:tcW w:w="2002"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(272.7)</w:t>
            </w:r>
          </w:p>
        </w:tc>
      </w:tr>
      <w:tr w:rsidR="00D66945" w:rsidRPr="007828C4" w:rsidTr="00A33453">
        <w:trPr>
          <w:trHeight w:val="433"/>
        </w:trPr>
        <w:tc>
          <w:tcPr>
            <w:tcW w:w="2003"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(20.4)</w:t>
            </w: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Net withdrawals from dealings with members</w:t>
            </w:r>
          </w:p>
        </w:tc>
        <w:tc>
          <w:tcPr>
            <w:tcW w:w="770" w:type="dxa"/>
            <w:shd w:val="clear" w:color="auto" w:fill="E7E6E6" w:themeFill="background2"/>
            <w:vAlign w:val="center"/>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p>
        </w:tc>
        <w:tc>
          <w:tcPr>
            <w:tcW w:w="2002"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(23.3)</w:t>
            </w:r>
          </w:p>
        </w:tc>
      </w:tr>
      <w:tr w:rsidR="00D66945" w:rsidRPr="007828C4" w:rsidTr="00A33453">
        <w:trPr>
          <w:trHeight w:val="433"/>
        </w:trPr>
        <w:tc>
          <w:tcPr>
            <w:tcW w:w="2003"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(70.4)</w:t>
            </w:r>
          </w:p>
        </w:tc>
        <w:tc>
          <w:tcPr>
            <w:tcW w:w="5701" w:type="dxa"/>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0"/>
              </w:rPr>
              <w:t>Management expenses</w:t>
            </w:r>
            <w:r>
              <w:rPr>
                <w:rFonts w:eastAsia="Arial Unicode MS" w:cs="Arial"/>
                <w:sz w:val="20"/>
                <w:szCs w:val="20"/>
              </w:rPr>
              <w:t>*</w:t>
            </w:r>
          </w:p>
        </w:tc>
        <w:tc>
          <w:tcPr>
            <w:tcW w:w="770" w:type="dxa"/>
            <w:vAlign w:val="center"/>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r w:rsidRPr="007828C4">
              <w:rPr>
                <w:rFonts w:eastAsia="Arial Unicode MS" w:cs="Arial"/>
                <w:sz w:val="20"/>
                <w:szCs w:val="20"/>
              </w:rPr>
              <w:t>10</w:t>
            </w:r>
          </w:p>
        </w:tc>
        <w:tc>
          <w:tcPr>
            <w:tcW w:w="2002"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03472A">
              <w:rPr>
                <w:rFonts w:eastAsia="Arial Unicode MS" w:cs="Arial"/>
                <w:sz w:val="20"/>
                <w:szCs w:val="20"/>
              </w:rPr>
              <w:t>(62.4)</w:t>
            </w:r>
          </w:p>
        </w:tc>
      </w:tr>
      <w:tr w:rsidR="00D66945" w:rsidRPr="007828C4" w:rsidTr="00A33453">
        <w:trPr>
          <w:trHeight w:val="433"/>
        </w:trPr>
        <w:tc>
          <w:tcPr>
            <w:tcW w:w="2003"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(90.8)</w:t>
            </w: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b/>
                <w:sz w:val="20"/>
                <w:szCs w:val="20"/>
              </w:rPr>
              <w:t>Net withdrawals including fund management expenses</w:t>
            </w:r>
          </w:p>
        </w:tc>
        <w:tc>
          <w:tcPr>
            <w:tcW w:w="770" w:type="dxa"/>
            <w:shd w:val="clear" w:color="auto" w:fill="E7E6E6" w:themeFill="background2"/>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p>
        </w:tc>
        <w:tc>
          <w:tcPr>
            <w:tcW w:w="2002"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sidRPr="0003472A">
              <w:rPr>
                <w:rFonts w:eastAsia="Arial Unicode MS" w:cs="Arial"/>
                <w:b/>
                <w:sz w:val="20"/>
                <w:szCs w:val="20"/>
              </w:rPr>
              <w:t>(85.7)</w:t>
            </w:r>
          </w:p>
        </w:tc>
      </w:tr>
      <w:tr w:rsidR="00D66945" w:rsidRPr="007828C4" w:rsidTr="00A33453">
        <w:trPr>
          <w:trHeight w:val="433"/>
        </w:trPr>
        <w:tc>
          <w:tcPr>
            <w:tcW w:w="200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b/>
                <w:sz w:val="20"/>
                <w:szCs w:val="20"/>
              </w:rPr>
              <w:t>Returns on investments</w:t>
            </w:r>
          </w:p>
        </w:tc>
        <w:tc>
          <w:tcPr>
            <w:tcW w:w="770" w:type="dxa"/>
            <w:shd w:val="clear" w:color="auto" w:fill="E7E6E6" w:themeFill="background2"/>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p>
        </w:tc>
        <w:tc>
          <w:tcPr>
            <w:tcW w:w="2002"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r>
      <w:tr w:rsidR="00D66945" w:rsidRPr="007828C4" w:rsidTr="00A33453">
        <w:trPr>
          <w:trHeight w:val="433"/>
        </w:trPr>
        <w:tc>
          <w:tcPr>
            <w:tcW w:w="2003"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109.9</w:t>
            </w:r>
          </w:p>
        </w:tc>
        <w:tc>
          <w:tcPr>
            <w:tcW w:w="5701" w:type="dxa"/>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0"/>
              </w:rPr>
              <w:t>Investment income</w:t>
            </w:r>
          </w:p>
        </w:tc>
        <w:tc>
          <w:tcPr>
            <w:tcW w:w="770" w:type="dxa"/>
          </w:tcPr>
          <w:p w:rsidR="00D66945" w:rsidRPr="007828C4" w:rsidRDefault="00D66945" w:rsidP="00A33453">
            <w:pPr>
              <w:tabs>
                <w:tab w:val="left" w:pos="2160"/>
                <w:tab w:val="left" w:pos="6885"/>
              </w:tabs>
              <w:spacing w:after="60"/>
              <w:jc w:val="center"/>
              <w:rPr>
                <w:rFonts w:eastAsia="Arial Unicode MS" w:cs="Arial"/>
                <w:sz w:val="20"/>
                <w:szCs w:val="20"/>
              </w:rPr>
            </w:pPr>
            <w:r w:rsidRPr="007828C4">
              <w:rPr>
                <w:rFonts w:eastAsia="Arial Unicode MS" w:cs="Arial"/>
                <w:sz w:val="20"/>
                <w:szCs w:val="20"/>
              </w:rPr>
              <w:t>11</w:t>
            </w:r>
          </w:p>
        </w:tc>
        <w:tc>
          <w:tcPr>
            <w:tcW w:w="2002"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138.7</w:t>
            </w:r>
          </w:p>
        </w:tc>
      </w:tr>
      <w:tr w:rsidR="00D66945" w:rsidRPr="007828C4" w:rsidTr="00A33453">
        <w:trPr>
          <w:trHeight w:val="433"/>
        </w:trPr>
        <w:tc>
          <w:tcPr>
            <w:tcW w:w="2003" w:type="dxa"/>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1,154.0</w:t>
            </w:r>
          </w:p>
        </w:tc>
        <w:tc>
          <w:tcPr>
            <w:tcW w:w="5701" w:type="dxa"/>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0"/>
              </w:rPr>
              <w:t>Profit and losses on disposal of investments and changes in the market value of investments</w:t>
            </w:r>
            <w:r>
              <w:rPr>
                <w:rFonts w:eastAsia="Arial Unicode MS" w:cs="Arial"/>
                <w:sz w:val="20"/>
                <w:szCs w:val="20"/>
              </w:rPr>
              <w:t>*</w:t>
            </w:r>
          </w:p>
        </w:tc>
        <w:tc>
          <w:tcPr>
            <w:tcW w:w="770" w:type="dxa"/>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r>
              <w:rPr>
                <w:rFonts w:eastAsia="Arial Unicode MS" w:cs="Arial"/>
                <w:sz w:val="20"/>
                <w:szCs w:val="20"/>
              </w:rPr>
              <w:t>13</w:t>
            </w:r>
          </w:p>
        </w:tc>
        <w:tc>
          <w:tcPr>
            <w:tcW w:w="2002" w:type="dxa"/>
            <w:shd w:val="clear" w:color="auto" w:fill="auto"/>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221.9</w:t>
            </w:r>
          </w:p>
        </w:tc>
      </w:tr>
      <w:tr w:rsidR="00D66945" w:rsidRPr="007828C4" w:rsidTr="00A33453">
        <w:trPr>
          <w:trHeight w:val="433"/>
        </w:trPr>
        <w:tc>
          <w:tcPr>
            <w:tcW w:w="2003"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1,263.9</w:t>
            </w: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b/>
                <w:sz w:val="20"/>
                <w:szCs w:val="20"/>
              </w:rPr>
              <w:t>Net return on investments</w:t>
            </w:r>
          </w:p>
        </w:tc>
        <w:tc>
          <w:tcPr>
            <w:tcW w:w="770"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2002"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360.6</w:t>
            </w:r>
          </w:p>
        </w:tc>
      </w:tr>
      <w:tr w:rsidR="00D66945" w:rsidRPr="007828C4" w:rsidTr="00A33453">
        <w:trPr>
          <w:trHeight w:val="433"/>
        </w:trPr>
        <w:tc>
          <w:tcPr>
            <w:tcW w:w="200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1,173.1</w:t>
            </w: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b/>
                <w:sz w:val="20"/>
                <w:szCs w:val="20"/>
              </w:rPr>
              <w:t>Net increase / (decrease) in the net assets available for benefits during the year</w:t>
            </w:r>
          </w:p>
        </w:tc>
        <w:tc>
          <w:tcPr>
            <w:tcW w:w="770"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2002"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274.9</w:t>
            </w:r>
          </w:p>
        </w:tc>
      </w:tr>
      <w:tr w:rsidR="00D66945" w:rsidRPr="007828C4" w:rsidTr="00A33453">
        <w:trPr>
          <w:trHeight w:val="464"/>
        </w:trPr>
        <w:tc>
          <w:tcPr>
            <w:tcW w:w="200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6,036.2</w:t>
            </w: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Opening net assets of the scheme</w:t>
            </w:r>
          </w:p>
        </w:tc>
        <w:tc>
          <w:tcPr>
            <w:tcW w:w="770"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2002"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7,209.3</w:t>
            </w:r>
          </w:p>
        </w:tc>
      </w:tr>
      <w:tr w:rsidR="00D66945" w:rsidRPr="007828C4" w:rsidTr="00A33453">
        <w:trPr>
          <w:trHeight w:val="433"/>
        </w:trPr>
        <w:tc>
          <w:tcPr>
            <w:tcW w:w="200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7,209.3</w:t>
            </w:r>
          </w:p>
        </w:tc>
        <w:tc>
          <w:tcPr>
            <w:tcW w:w="5701"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Closing net assets of the scheme</w:t>
            </w:r>
          </w:p>
        </w:tc>
        <w:tc>
          <w:tcPr>
            <w:tcW w:w="770"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2002"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7,484.2</w:t>
            </w:r>
          </w:p>
        </w:tc>
      </w:tr>
    </w:tbl>
    <w:p w:rsidR="00D66945" w:rsidRDefault="00D66945" w:rsidP="00D66945">
      <w:pPr>
        <w:keepNext/>
        <w:outlineLvl w:val="4"/>
        <w:rPr>
          <w:rFonts w:eastAsia="Arial Unicode MS" w:cs="Arial"/>
          <w:bCs/>
          <w:sz w:val="20"/>
          <w:szCs w:val="20"/>
        </w:rPr>
      </w:pPr>
    </w:p>
    <w:p w:rsidR="00D66945" w:rsidRPr="00A81F61" w:rsidRDefault="00D66945" w:rsidP="00D66945">
      <w:pPr>
        <w:keepNext/>
        <w:outlineLvl w:val="4"/>
        <w:rPr>
          <w:rFonts w:eastAsia="Arial Unicode MS" w:cs="Arial"/>
          <w:bCs/>
          <w:sz w:val="20"/>
          <w:szCs w:val="20"/>
        </w:rPr>
      </w:pPr>
      <w:r>
        <w:rPr>
          <w:rFonts w:eastAsia="Arial Unicode MS" w:cs="Arial"/>
          <w:bCs/>
          <w:sz w:val="20"/>
          <w:szCs w:val="20"/>
        </w:rPr>
        <w:t xml:space="preserve">*The 2016/17 comparatives for management expenses have been restated to include additional fees previously netted off investment value, in line with CIPFA's </w:t>
      </w:r>
      <w:r>
        <w:rPr>
          <w:rFonts w:eastAsia="Arial Unicode MS" w:cs="Arial"/>
          <w:bCs/>
          <w:i/>
          <w:sz w:val="20"/>
          <w:szCs w:val="20"/>
        </w:rPr>
        <w:t>Accounting for Local Government Pension Scheme Management Expenses (2016).</w:t>
      </w:r>
      <w:r>
        <w:rPr>
          <w:rFonts w:eastAsia="Arial Unicode MS" w:cs="Arial"/>
          <w:bCs/>
          <w:sz w:val="20"/>
          <w:szCs w:val="20"/>
        </w:rPr>
        <w:t xml:space="preserve">  This restatement has an equal impact on management expenses and the change in the market value of investments.  There is no impact on the overall net assets of the scheme.</w:t>
      </w:r>
    </w:p>
    <w:p w:rsidR="00D66945" w:rsidRDefault="00D66945" w:rsidP="00D66945">
      <w:pPr>
        <w:spacing w:after="160" w:line="259" w:lineRule="auto"/>
        <w:rPr>
          <w:rFonts w:eastAsia="Arial Unicode MS" w:cs="Arial"/>
          <w:bCs/>
          <w:sz w:val="20"/>
          <w:szCs w:val="20"/>
        </w:rPr>
      </w:pPr>
      <w:r>
        <w:rPr>
          <w:rFonts w:eastAsia="Arial Unicode MS" w:cs="Arial"/>
          <w:bCs/>
          <w:sz w:val="20"/>
          <w:szCs w:val="20"/>
        </w:rPr>
        <w:br w:type="page"/>
      </w:r>
    </w:p>
    <w:p w:rsidR="00D66945" w:rsidRDefault="00D66945" w:rsidP="00D66945">
      <w:pPr>
        <w:keepNext/>
        <w:outlineLvl w:val="4"/>
        <w:rPr>
          <w:rFonts w:eastAsia="Arial Unicode MS" w:cs="Arial"/>
          <w:b/>
          <w:bCs/>
          <w:sz w:val="32"/>
          <w:szCs w:val="22"/>
        </w:rPr>
      </w:pPr>
      <w:r w:rsidRPr="007828C4">
        <w:rPr>
          <w:rFonts w:eastAsia="Arial Unicode MS" w:cs="Arial"/>
          <w:b/>
          <w:bCs/>
          <w:sz w:val="32"/>
          <w:szCs w:val="22"/>
        </w:rPr>
        <w:lastRenderedPageBreak/>
        <w:t>Net asset statement as at 31 March 201</w:t>
      </w:r>
      <w:r>
        <w:rPr>
          <w:rFonts w:eastAsia="Arial Unicode MS" w:cs="Arial"/>
          <w:b/>
          <w:bCs/>
          <w:sz w:val="32"/>
          <w:szCs w:val="22"/>
        </w:rPr>
        <w:t>8</w:t>
      </w: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843"/>
        <w:gridCol w:w="5245"/>
        <w:gridCol w:w="709"/>
        <w:gridCol w:w="1842"/>
      </w:tblGrid>
      <w:tr w:rsidR="00D66945" w:rsidRPr="007828C4" w:rsidTr="00A33453">
        <w:trPr>
          <w:trHeight w:val="264"/>
        </w:trPr>
        <w:tc>
          <w:tcPr>
            <w:tcW w:w="1843"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7</w:t>
            </w:r>
          </w:p>
        </w:tc>
        <w:tc>
          <w:tcPr>
            <w:tcW w:w="5245" w:type="dxa"/>
            <w:tcBorders>
              <w:bottom w:val="nil"/>
            </w:tcBorders>
            <w:shd w:val="clear" w:color="auto" w:fill="E7E6E6" w:themeFill="background2"/>
          </w:tcPr>
          <w:p w:rsidR="00D66945" w:rsidRPr="007828C4" w:rsidRDefault="00D66945" w:rsidP="00A33453">
            <w:pPr>
              <w:jc w:val="center"/>
              <w:rPr>
                <w:rFonts w:eastAsia="Arial Unicode MS" w:cs="Arial"/>
                <w:b/>
                <w:sz w:val="20"/>
                <w:szCs w:val="20"/>
              </w:rPr>
            </w:pPr>
          </w:p>
        </w:tc>
        <w:tc>
          <w:tcPr>
            <w:tcW w:w="709" w:type="dxa"/>
            <w:tcBorders>
              <w:bottom w:val="nil"/>
            </w:tcBorders>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20"/>
              </w:rPr>
            </w:pPr>
            <w:r w:rsidRPr="007828C4">
              <w:rPr>
                <w:rFonts w:eastAsia="Arial Unicode MS" w:cs="Arial"/>
                <w:b/>
                <w:sz w:val="20"/>
                <w:szCs w:val="20"/>
              </w:rPr>
              <w:t>Note</w:t>
            </w:r>
          </w:p>
        </w:tc>
        <w:tc>
          <w:tcPr>
            <w:tcW w:w="1842"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8</w:t>
            </w:r>
          </w:p>
        </w:tc>
      </w:tr>
      <w:tr w:rsidR="00D66945" w:rsidRPr="007828C4" w:rsidTr="00A33453">
        <w:trPr>
          <w:trHeight w:val="264"/>
        </w:trPr>
        <w:tc>
          <w:tcPr>
            <w:tcW w:w="1843"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20"/>
              </w:rPr>
            </w:pPr>
            <w:r w:rsidRPr="007828C4">
              <w:rPr>
                <w:rFonts w:eastAsia="Arial Unicode MS" w:cs="Arial"/>
                <w:b/>
                <w:sz w:val="20"/>
                <w:szCs w:val="20"/>
              </w:rPr>
              <w:t>£m</w:t>
            </w:r>
          </w:p>
        </w:tc>
        <w:tc>
          <w:tcPr>
            <w:tcW w:w="5245" w:type="dxa"/>
            <w:tcBorders>
              <w:top w:val="nil"/>
            </w:tcBorders>
            <w:shd w:val="clear" w:color="auto" w:fill="E7E6E6" w:themeFill="background2"/>
          </w:tcPr>
          <w:p w:rsidR="00D66945" w:rsidRPr="007828C4" w:rsidRDefault="00D66945" w:rsidP="00A33453">
            <w:pPr>
              <w:jc w:val="center"/>
              <w:rPr>
                <w:rFonts w:eastAsia="Arial Unicode MS" w:cs="Arial"/>
                <w:b/>
                <w:sz w:val="20"/>
                <w:szCs w:val="20"/>
              </w:rPr>
            </w:pPr>
          </w:p>
        </w:tc>
        <w:tc>
          <w:tcPr>
            <w:tcW w:w="709" w:type="dxa"/>
            <w:tcBorders>
              <w:top w:val="nil"/>
            </w:tcBorders>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20"/>
              </w:rPr>
            </w:pPr>
          </w:p>
        </w:tc>
        <w:tc>
          <w:tcPr>
            <w:tcW w:w="1842"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7,135.1</w:t>
            </w:r>
          </w:p>
        </w:tc>
        <w:tc>
          <w:tcPr>
            <w:tcW w:w="5245" w:type="dxa"/>
            <w:shd w:val="clear" w:color="auto" w:fill="auto"/>
          </w:tcPr>
          <w:p w:rsidR="00D66945" w:rsidRPr="007828C4" w:rsidRDefault="00D66945" w:rsidP="00A33453">
            <w:pPr>
              <w:rPr>
                <w:rFonts w:eastAsia="Arial Unicode MS" w:cs="Arial"/>
                <w:sz w:val="20"/>
                <w:szCs w:val="20"/>
              </w:rPr>
            </w:pPr>
            <w:r w:rsidRPr="007828C4">
              <w:rPr>
                <w:rFonts w:eastAsia="Arial Unicode MS" w:cs="Arial"/>
                <w:sz w:val="20"/>
                <w:szCs w:val="22"/>
              </w:rPr>
              <w:t>Investment assets</w:t>
            </w:r>
          </w:p>
        </w:tc>
        <w:tc>
          <w:tcPr>
            <w:tcW w:w="709" w:type="dxa"/>
            <w:shd w:val="clear" w:color="auto" w:fill="auto"/>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r>
              <w:rPr>
                <w:rFonts w:eastAsia="Arial Unicode MS" w:cs="Arial"/>
                <w:sz w:val="20"/>
                <w:szCs w:val="22"/>
              </w:rPr>
              <w:t>13</w:t>
            </w:r>
          </w:p>
        </w:tc>
        <w:tc>
          <w:tcPr>
            <w:tcW w:w="1842"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7,448.2</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56.3</w:t>
            </w:r>
          </w:p>
        </w:tc>
        <w:tc>
          <w:tcPr>
            <w:tcW w:w="5245" w:type="dxa"/>
            <w:shd w:val="clear" w:color="auto" w:fill="auto"/>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2"/>
              </w:rPr>
              <w:t>Cash deposits</w:t>
            </w:r>
          </w:p>
        </w:tc>
        <w:tc>
          <w:tcPr>
            <w:tcW w:w="709" w:type="dxa"/>
            <w:shd w:val="clear" w:color="auto" w:fill="auto"/>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r>
              <w:rPr>
                <w:rFonts w:eastAsia="Arial Unicode MS" w:cs="Arial"/>
                <w:sz w:val="20"/>
                <w:szCs w:val="22"/>
              </w:rPr>
              <w:t>13</w:t>
            </w:r>
          </w:p>
        </w:tc>
        <w:tc>
          <w:tcPr>
            <w:tcW w:w="1842"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162.0</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b/>
                <w:sz w:val="20"/>
                <w:szCs w:val="22"/>
              </w:rPr>
            </w:pPr>
            <w:r w:rsidRPr="007828C4">
              <w:rPr>
                <w:rFonts w:eastAsia="Arial Unicode MS" w:cs="Arial"/>
                <w:b/>
                <w:sz w:val="20"/>
                <w:szCs w:val="20"/>
              </w:rPr>
              <w:t>7,191.4</w:t>
            </w:r>
          </w:p>
        </w:tc>
        <w:tc>
          <w:tcPr>
            <w:tcW w:w="5245" w:type="dxa"/>
            <w:shd w:val="clear" w:color="auto" w:fill="auto"/>
          </w:tcPr>
          <w:p w:rsidR="00D66945" w:rsidRPr="007828C4" w:rsidRDefault="00D66945" w:rsidP="00A33453">
            <w:pPr>
              <w:tabs>
                <w:tab w:val="left" w:pos="2160"/>
                <w:tab w:val="left" w:pos="6885"/>
              </w:tabs>
              <w:spacing w:after="60"/>
              <w:rPr>
                <w:rFonts w:eastAsia="Arial Unicode MS" w:cs="Arial"/>
                <w:b/>
                <w:sz w:val="20"/>
                <w:szCs w:val="22"/>
              </w:rPr>
            </w:pPr>
            <w:r w:rsidRPr="007828C4">
              <w:rPr>
                <w:rFonts w:eastAsia="Arial Unicode MS" w:cs="Arial"/>
                <w:b/>
                <w:sz w:val="20"/>
                <w:szCs w:val="22"/>
              </w:rPr>
              <w:t>Total net investments</w:t>
            </w:r>
          </w:p>
        </w:tc>
        <w:tc>
          <w:tcPr>
            <w:tcW w:w="709" w:type="dxa"/>
            <w:shd w:val="clear" w:color="auto" w:fill="auto"/>
          </w:tcPr>
          <w:p w:rsidR="00D66945" w:rsidRPr="007828C4" w:rsidRDefault="00D66945" w:rsidP="00A33453">
            <w:pPr>
              <w:tabs>
                <w:tab w:val="left" w:pos="2160"/>
                <w:tab w:val="left" w:pos="6885"/>
              </w:tabs>
              <w:spacing w:after="60"/>
              <w:jc w:val="center"/>
              <w:rPr>
                <w:rFonts w:eastAsia="Arial Unicode MS" w:cs="Arial"/>
                <w:sz w:val="20"/>
                <w:szCs w:val="22"/>
                <w:highlight w:val="magenta"/>
              </w:rPr>
            </w:pPr>
          </w:p>
        </w:tc>
        <w:tc>
          <w:tcPr>
            <w:tcW w:w="1842" w:type="dxa"/>
            <w:shd w:val="clear" w:color="auto" w:fill="auto"/>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7,610.2</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30.7</w:t>
            </w:r>
          </w:p>
        </w:tc>
        <w:tc>
          <w:tcPr>
            <w:tcW w:w="5245" w:type="dxa"/>
            <w:shd w:val="clear" w:color="auto" w:fill="auto"/>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2"/>
              </w:rPr>
              <w:t>Current assets</w:t>
            </w:r>
          </w:p>
        </w:tc>
        <w:tc>
          <w:tcPr>
            <w:tcW w:w="709" w:type="dxa"/>
            <w:shd w:val="clear" w:color="auto" w:fill="auto"/>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r>
              <w:rPr>
                <w:rFonts w:eastAsia="Arial Unicode MS" w:cs="Arial"/>
                <w:sz w:val="20"/>
                <w:szCs w:val="22"/>
              </w:rPr>
              <w:t>19</w:t>
            </w:r>
          </w:p>
        </w:tc>
        <w:tc>
          <w:tcPr>
            <w:tcW w:w="1842"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23.4</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(12.8)</w:t>
            </w:r>
          </w:p>
        </w:tc>
        <w:tc>
          <w:tcPr>
            <w:tcW w:w="5245" w:type="dxa"/>
            <w:shd w:val="clear" w:color="auto" w:fill="auto"/>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sz w:val="20"/>
                <w:szCs w:val="22"/>
              </w:rPr>
              <w:t>Current liabilities</w:t>
            </w:r>
          </w:p>
        </w:tc>
        <w:tc>
          <w:tcPr>
            <w:tcW w:w="709" w:type="dxa"/>
            <w:shd w:val="clear" w:color="auto" w:fill="auto"/>
          </w:tcPr>
          <w:p w:rsidR="00D66945" w:rsidRPr="007828C4" w:rsidRDefault="00D66945" w:rsidP="00A33453">
            <w:pPr>
              <w:tabs>
                <w:tab w:val="left" w:pos="2160"/>
                <w:tab w:val="left" w:pos="6885"/>
              </w:tabs>
              <w:spacing w:after="60"/>
              <w:jc w:val="center"/>
              <w:rPr>
                <w:rFonts w:eastAsia="Arial Unicode MS" w:cs="Arial"/>
                <w:sz w:val="20"/>
                <w:szCs w:val="20"/>
                <w:highlight w:val="magenta"/>
              </w:rPr>
            </w:pPr>
            <w:r>
              <w:rPr>
                <w:rFonts w:eastAsia="Arial Unicode MS" w:cs="Arial"/>
                <w:sz w:val="20"/>
                <w:szCs w:val="22"/>
              </w:rPr>
              <w:t>20</w:t>
            </w:r>
          </w:p>
        </w:tc>
        <w:tc>
          <w:tcPr>
            <w:tcW w:w="1842"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(80.9)</w:t>
            </w:r>
          </w:p>
        </w:tc>
      </w:tr>
      <w:tr w:rsidR="00D66945" w:rsidRPr="007828C4" w:rsidTr="00A33453">
        <w:trPr>
          <w:trHeight w:val="431"/>
        </w:trPr>
        <w:tc>
          <w:tcPr>
            <w:tcW w:w="1843" w:type="dxa"/>
            <w:shd w:val="clear" w:color="auto" w:fill="FFFFFF" w:themeFill="background1"/>
            <w:vAlign w:val="center"/>
          </w:tcPr>
          <w:p w:rsidR="00D66945" w:rsidRPr="000430B9" w:rsidRDefault="00D66945" w:rsidP="00A33453">
            <w:pPr>
              <w:tabs>
                <w:tab w:val="left" w:pos="2160"/>
                <w:tab w:val="left" w:pos="6885"/>
              </w:tabs>
              <w:spacing w:after="60"/>
              <w:jc w:val="right"/>
              <w:rPr>
                <w:rFonts w:eastAsia="Arial Unicode MS" w:cs="Arial"/>
                <w:b/>
                <w:sz w:val="20"/>
                <w:szCs w:val="20"/>
              </w:rPr>
            </w:pPr>
            <w:r w:rsidRPr="000430B9">
              <w:rPr>
                <w:rFonts w:eastAsia="Arial Unicode MS" w:cs="Arial"/>
                <w:b/>
                <w:sz w:val="20"/>
                <w:szCs w:val="20"/>
              </w:rPr>
              <w:t>-</w:t>
            </w:r>
          </w:p>
        </w:tc>
        <w:tc>
          <w:tcPr>
            <w:tcW w:w="5245" w:type="dxa"/>
            <w:shd w:val="clear" w:color="auto" w:fill="FFFFFF" w:themeFill="background1"/>
            <w:vAlign w:val="center"/>
          </w:tcPr>
          <w:p w:rsidR="00D66945" w:rsidRPr="000430B9" w:rsidRDefault="00D66945" w:rsidP="00A33453">
            <w:pPr>
              <w:tabs>
                <w:tab w:val="left" w:pos="2160"/>
                <w:tab w:val="left" w:pos="6885"/>
              </w:tabs>
              <w:spacing w:after="60"/>
              <w:rPr>
                <w:rFonts w:eastAsia="Arial Unicode MS" w:cs="Arial"/>
                <w:sz w:val="20"/>
                <w:szCs w:val="22"/>
              </w:rPr>
            </w:pPr>
            <w:r w:rsidRPr="000430B9">
              <w:rPr>
                <w:rFonts w:eastAsia="Arial Unicode MS" w:cs="Arial"/>
                <w:sz w:val="20"/>
                <w:szCs w:val="22"/>
              </w:rPr>
              <w:t>Long term liabilities</w:t>
            </w:r>
          </w:p>
        </w:tc>
        <w:tc>
          <w:tcPr>
            <w:tcW w:w="709" w:type="dxa"/>
            <w:shd w:val="clear" w:color="auto" w:fill="FFFFFF" w:themeFill="background1"/>
            <w:vAlign w:val="center"/>
          </w:tcPr>
          <w:p w:rsidR="00D66945" w:rsidRPr="000430B9" w:rsidRDefault="00D66945" w:rsidP="00A33453">
            <w:pPr>
              <w:tabs>
                <w:tab w:val="left" w:pos="2160"/>
                <w:tab w:val="left" w:pos="6885"/>
              </w:tabs>
              <w:spacing w:after="60"/>
              <w:jc w:val="center"/>
              <w:rPr>
                <w:rFonts w:eastAsia="Arial Unicode MS" w:cs="Arial"/>
                <w:sz w:val="20"/>
                <w:szCs w:val="20"/>
              </w:rPr>
            </w:pPr>
            <w:r w:rsidRPr="000430B9">
              <w:rPr>
                <w:rFonts w:eastAsia="Arial Unicode MS" w:cs="Arial"/>
                <w:sz w:val="20"/>
                <w:szCs w:val="20"/>
              </w:rPr>
              <w:t>20</w:t>
            </w:r>
          </w:p>
        </w:tc>
        <w:tc>
          <w:tcPr>
            <w:tcW w:w="1842" w:type="dxa"/>
            <w:shd w:val="clear" w:color="auto" w:fill="FFFFFF" w:themeFill="background1"/>
            <w:vAlign w:val="center"/>
          </w:tcPr>
          <w:p w:rsidR="00D66945" w:rsidRPr="000430B9" w:rsidRDefault="00D66945" w:rsidP="00A33453">
            <w:pPr>
              <w:tabs>
                <w:tab w:val="left" w:pos="2160"/>
                <w:tab w:val="left" w:pos="6885"/>
              </w:tabs>
              <w:spacing w:after="60"/>
              <w:jc w:val="right"/>
              <w:rPr>
                <w:rFonts w:eastAsia="Arial Unicode MS" w:cs="Arial"/>
                <w:sz w:val="20"/>
                <w:szCs w:val="20"/>
              </w:rPr>
            </w:pPr>
            <w:r w:rsidRPr="000430B9">
              <w:rPr>
                <w:rFonts w:eastAsia="Arial Unicode MS" w:cs="Arial"/>
                <w:sz w:val="20"/>
                <w:szCs w:val="20"/>
              </w:rPr>
              <w:t>(68.5)</w:t>
            </w:r>
          </w:p>
        </w:tc>
      </w:tr>
      <w:tr w:rsidR="00D66945" w:rsidRPr="007828C4" w:rsidTr="00A33453">
        <w:trPr>
          <w:trHeight w:val="431"/>
        </w:trPr>
        <w:tc>
          <w:tcPr>
            <w:tcW w:w="1843"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b/>
                <w:sz w:val="20"/>
                <w:szCs w:val="20"/>
              </w:rPr>
              <w:t>7,209.3</w:t>
            </w:r>
          </w:p>
        </w:tc>
        <w:tc>
          <w:tcPr>
            <w:tcW w:w="5245" w:type="dxa"/>
            <w:shd w:val="clear" w:color="auto" w:fill="E7E6E6" w:themeFill="background2"/>
            <w:vAlign w:val="center"/>
          </w:tcPr>
          <w:p w:rsidR="00D66945" w:rsidRPr="007828C4" w:rsidRDefault="00D66945" w:rsidP="00A33453">
            <w:pPr>
              <w:tabs>
                <w:tab w:val="left" w:pos="2160"/>
                <w:tab w:val="left" w:pos="6885"/>
              </w:tabs>
              <w:spacing w:after="60"/>
              <w:rPr>
                <w:rFonts w:eastAsia="Arial Unicode MS" w:cs="Arial"/>
                <w:sz w:val="20"/>
                <w:szCs w:val="20"/>
              </w:rPr>
            </w:pPr>
            <w:r w:rsidRPr="007828C4">
              <w:rPr>
                <w:rFonts w:eastAsia="Arial Unicode MS" w:cs="Arial"/>
                <w:b/>
                <w:sz w:val="20"/>
                <w:szCs w:val="22"/>
              </w:rPr>
              <w:t>Net assets of the Fund available to fund benefits at the at the period end</w:t>
            </w:r>
          </w:p>
        </w:tc>
        <w:tc>
          <w:tcPr>
            <w:tcW w:w="709" w:type="dxa"/>
            <w:shd w:val="clear" w:color="auto" w:fill="E7E6E6" w:themeFill="background2"/>
            <w:vAlign w:val="center"/>
          </w:tcPr>
          <w:p w:rsidR="00D66945" w:rsidRPr="007828C4" w:rsidRDefault="00D66945" w:rsidP="00A33453">
            <w:pPr>
              <w:tabs>
                <w:tab w:val="left" w:pos="2160"/>
                <w:tab w:val="left" w:pos="6885"/>
              </w:tabs>
              <w:spacing w:after="60"/>
              <w:jc w:val="center"/>
              <w:rPr>
                <w:rFonts w:eastAsia="Arial Unicode MS" w:cs="Arial"/>
                <w:sz w:val="20"/>
                <w:szCs w:val="20"/>
              </w:rPr>
            </w:pPr>
          </w:p>
        </w:tc>
        <w:tc>
          <w:tcPr>
            <w:tcW w:w="1842" w:type="dxa"/>
            <w:shd w:val="clear" w:color="auto" w:fill="E7E6E6" w:themeFill="background2"/>
            <w:vAlign w:val="center"/>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7,484.2</w:t>
            </w:r>
          </w:p>
        </w:tc>
      </w:tr>
    </w:tbl>
    <w:p w:rsidR="00D66945" w:rsidRPr="007828C4" w:rsidRDefault="00D66945" w:rsidP="00D66945">
      <w:pPr>
        <w:keepNext/>
        <w:outlineLvl w:val="4"/>
        <w:rPr>
          <w:rFonts w:eastAsia="Arial Unicode MS" w:cs="Arial"/>
          <w:b/>
          <w:bCs/>
          <w:sz w:val="22"/>
          <w:szCs w:val="22"/>
        </w:rPr>
      </w:pPr>
    </w:p>
    <w:p w:rsidR="00D66945" w:rsidRPr="007828C4" w:rsidRDefault="00D66945" w:rsidP="00D66945">
      <w:pPr>
        <w:rPr>
          <w:rFonts w:eastAsia="Arial Unicode MS" w:cs="Arial"/>
          <w:sz w:val="22"/>
          <w:szCs w:val="22"/>
        </w:rPr>
      </w:pPr>
      <w:r w:rsidRPr="007828C4">
        <w:rPr>
          <w:rFonts w:eastAsia="Arial Unicode MS" w:cs="Arial"/>
          <w:b/>
          <w:sz w:val="22"/>
          <w:szCs w:val="22"/>
        </w:rPr>
        <w:t xml:space="preserve">Note: </w:t>
      </w:r>
      <w:r w:rsidRPr="007828C4">
        <w:rPr>
          <w:rFonts w:eastAsia="Arial Unicode MS" w:cs="Arial"/>
          <w:sz w:val="22"/>
          <w:szCs w:val="22"/>
        </w:rPr>
        <w:t>The Fund's financial statements do not take account of liabilities to pay pensions and other benefits after the period end.  The actuarial present value of promised retirement benefits is disclosed at note 2</w:t>
      </w:r>
      <w:r>
        <w:rPr>
          <w:rFonts w:eastAsia="Arial Unicode MS" w:cs="Arial"/>
          <w:sz w:val="22"/>
          <w:szCs w:val="22"/>
        </w:rPr>
        <w:t>5</w:t>
      </w:r>
      <w:r w:rsidRPr="007828C4">
        <w:rPr>
          <w:rFonts w:eastAsia="Arial Unicode MS" w:cs="Arial"/>
          <w:sz w:val="22"/>
          <w:szCs w:val="22"/>
        </w:rPr>
        <w:t>.</w:t>
      </w:r>
    </w:p>
    <w:p w:rsidR="00D66945" w:rsidRPr="007828C4" w:rsidRDefault="00D66945" w:rsidP="00D66945">
      <w:pPr>
        <w:rPr>
          <w:rFonts w:eastAsia="Arial Unicode MS" w:cs="Arial"/>
          <w:sz w:val="22"/>
          <w:szCs w:val="22"/>
        </w:rPr>
      </w:pPr>
    </w:p>
    <w:p w:rsidR="00D66945" w:rsidRPr="007828C4" w:rsidRDefault="00D66945" w:rsidP="00D66945">
      <w:pPr>
        <w:keepNext/>
        <w:outlineLvl w:val="2"/>
        <w:rPr>
          <w:rFonts w:eastAsia="Arial Unicode MS" w:cs="Arial"/>
          <w:sz w:val="22"/>
          <w:szCs w:val="22"/>
        </w:rPr>
      </w:pPr>
      <w:r w:rsidRPr="007828C4">
        <w:rPr>
          <w:rFonts w:eastAsia="Arial Unicode MS" w:cs="Arial"/>
          <w:sz w:val="22"/>
          <w:szCs w:val="22"/>
        </w:rPr>
        <w:t>This statement of accounts is that upon which the auditor should enter his certificate and opinion.  It presents fairly the position of the Lancashire County Pension Fund as at 31 March 201</w:t>
      </w:r>
      <w:r>
        <w:rPr>
          <w:rFonts w:eastAsia="Arial Unicode MS" w:cs="Arial"/>
          <w:sz w:val="22"/>
          <w:szCs w:val="22"/>
        </w:rPr>
        <w:t>8</w:t>
      </w:r>
      <w:r w:rsidRPr="007828C4">
        <w:rPr>
          <w:rFonts w:eastAsia="Arial Unicode MS" w:cs="Arial"/>
          <w:sz w:val="22"/>
          <w:szCs w:val="22"/>
        </w:rPr>
        <w:t xml:space="preserve"> and its income and expenditure for the year then ended.</w:t>
      </w: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tbl>
      <w:tblPr>
        <w:tblW w:w="0" w:type="auto"/>
        <w:tblLook w:val="04A0" w:firstRow="1" w:lastRow="0" w:firstColumn="1" w:lastColumn="0" w:noHBand="0" w:noVBand="1"/>
      </w:tblPr>
      <w:tblGrid>
        <w:gridCol w:w="4796"/>
        <w:gridCol w:w="4802"/>
      </w:tblGrid>
      <w:tr w:rsidR="00D66945" w:rsidRPr="007828C4" w:rsidTr="00A33453">
        <w:tc>
          <w:tcPr>
            <w:tcW w:w="4796" w:type="dxa"/>
          </w:tcPr>
          <w:p w:rsidR="00D66945" w:rsidRPr="007828C4" w:rsidRDefault="00D66945" w:rsidP="00A33453">
            <w:pPr>
              <w:rPr>
                <w:rFonts w:eastAsia="Arial Unicode MS" w:cs="Arial"/>
                <w:sz w:val="22"/>
                <w:szCs w:val="22"/>
              </w:rPr>
            </w:pPr>
            <w:r>
              <w:rPr>
                <w:rFonts w:eastAsia="Arial Unicode MS" w:cs="Arial"/>
                <w:sz w:val="22"/>
                <w:szCs w:val="22"/>
              </w:rPr>
              <w:t>Angie Ridgwell</w:t>
            </w:r>
          </w:p>
        </w:tc>
        <w:tc>
          <w:tcPr>
            <w:tcW w:w="4802" w:type="dxa"/>
          </w:tcPr>
          <w:p w:rsidR="00D66945" w:rsidRPr="007828C4" w:rsidRDefault="00D66945" w:rsidP="00A33453">
            <w:pPr>
              <w:rPr>
                <w:rFonts w:eastAsia="Arial Unicode MS" w:cs="Arial"/>
                <w:sz w:val="22"/>
                <w:szCs w:val="22"/>
              </w:rPr>
            </w:pPr>
            <w:r w:rsidRPr="007828C4">
              <w:rPr>
                <w:rFonts w:eastAsia="Arial Unicode MS" w:cs="Arial"/>
                <w:sz w:val="22"/>
                <w:szCs w:val="22"/>
              </w:rPr>
              <w:t>County Councillor Alan Schofield</w:t>
            </w:r>
          </w:p>
        </w:tc>
      </w:tr>
      <w:tr w:rsidR="00D66945" w:rsidRPr="007828C4" w:rsidTr="00A33453">
        <w:tc>
          <w:tcPr>
            <w:tcW w:w="4796" w:type="dxa"/>
          </w:tcPr>
          <w:p w:rsidR="00D66945" w:rsidRPr="007828C4" w:rsidRDefault="00D66945" w:rsidP="00A33453">
            <w:pPr>
              <w:rPr>
                <w:rFonts w:eastAsia="Arial Unicode MS" w:cs="Arial"/>
                <w:sz w:val="22"/>
                <w:szCs w:val="22"/>
              </w:rPr>
            </w:pPr>
            <w:r>
              <w:rPr>
                <w:rFonts w:eastAsia="Arial Unicode MS" w:cs="Arial"/>
                <w:sz w:val="22"/>
                <w:szCs w:val="22"/>
              </w:rPr>
              <w:t>Chief Executive and Director of Resources</w:t>
            </w:r>
          </w:p>
        </w:tc>
        <w:tc>
          <w:tcPr>
            <w:tcW w:w="4802" w:type="dxa"/>
          </w:tcPr>
          <w:p w:rsidR="00D66945" w:rsidRPr="007828C4" w:rsidRDefault="00D66945" w:rsidP="00A33453">
            <w:pPr>
              <w:rPr>
                <w:rFonts w:eastAsia="Arial Unicode MS" w:cs="Arial"/>
                <w:sz w:val="22"/>
                <w:szCs w:val="22"/>
              </w:rPr>
            </w:pPr>
            <w:r w:rsidRPr="007828C4">
              <w:rPr>
                <w:rFonts w:eastAsia="Arial Unicode MS" w:cs="Arial"/>
                <w:sz w:val="22"/>
                <w:szCs w:val="22"/>
              </w:rPr>
              <w:t>Chair of Audit and Governance Committee</w:t>
            </w:r>
          </w:p>
        </w:tc>
      </w:tr>
    </w:tbl>
    <w:p w:rsidR="00D66945" w:rsidRPr="007828C4" w:rsidRDefault="00D66945" w:rsidP="00D66945">
      <w:pPr>
        <w:rPr>
          <w:rFonts w:eastAsia="Arial Unicode MS" w:cs="Arial"/>
          <w:b/>
          <w:sz w:val="22"/>
          <w:szCs w:val="22"/>
        </w:rPr>
      </w:pPr>
    </w:p>
    <w:p w:rsidR="00D66945" w:rsidRDefault="00D66945" w:rsidP="00D66945">
      <w:pPr>
        <w:keepNext/>
        <w:outlineLvl w:val="0"/>
        <w:rPr>
          <w:rFonts w:eastAsia="Arial Unicode MS" w:cs="Arial"/>
          <w:b/>
          <w:bCs/>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AF6EF5" w:rsidRDefault="00D66945" w:rsidP="00D66945">
      <w:pPr>
        <w:rPr>
          <w:rFonts w:eastAsia="Arial Unicode MS" w:cs="Arial"/>
          <w:sz w:val="22"/>
          <w:szCs w:val="22"/>
          <w:lang w:eastAsia="en-GB"/>
        </w:rPr>
      </w:pPr>
    </w:p>
    <w:p w:rsidR="00D66945" w:rsidRPr="007828C4" w:rsidRDefault="00D66945" w:rsidP="00D66945">
      <w:pPr>
        <w:keepNext/>
        <w:outlineLvl w:val="0"/>
        <w:rPr>
          <w:rFonts w:eastAsia="Arial Unicode MS" w:cs="Arial"/>
          <w:b/>
          <w:bCs/>
          <w:sz w:val="32"/>
          <w:szCs w:val="22"/>
          <w:lang w:eastAsia="en-GB"/>
        </w:rPr>
      </w:pPr>
      <w:r w:rsidRPr="007828C4">
        <w:rPr>
          <w:rFonts w:eastAsia="Arial Unicode MS" w:cs="Arial"/>
          <w:b/>
          <w:bCs/>
          <w:sz w:val="32"/>
          <w:szCs w:val="22"/>
          <w:lang w:eastAsia="en-GB"/>
        </w:rPr>
        <w:t>NOTES TO THE FINANCIAL STATEMENTS</w:t>
      </w:r>
    </w:p>
    <w:p w:rsidR="00D66945" w:rsidRPr="007828C4" w:rsidRDefault="00D66945" w:rsidP="00D66945">
      <w:pPr>
        <w:keepNext/>
        <w:outlineLvl w:val="0"/>
        <w:rPr>
          <w:rFonts w:eastAsia="Arial Unicode MS" w:cs="Arial"/>
          <w:b/>
          <w:bCs/>
          <w:sz w:val="32"/>
          <w:szCs w:val="22"/>
          <w:lang w:eastAsia="en-GB"/>
        </w:rPr>
      </w:pPr>
    </w:p>
    <w:p w:rsidR="00D66945" w:rsidRPr="007828C4" w:rsidRDefault="00D66945" w:rsidP="00D66945">
      <w:pPr>
        <w:numPr>
          <w:ilvl w:val="0"/>
          <w:numId w:val="5"/>
        </w:numPr>
        <w:tabs>
          <w:tab w:val="num" w:pos="567"/>
          <w:tab w:val="num" w:pos="720"/>
        </w:tabs>
        <w:spacing w:after="0"/>
        <w:ind w:hanging="862"/>
        <w:rPr>
          <w:rFonts w:eastAsia="Arial Unicode MS" w:cs="Arial"/>
          <w:b/>
          <w:sz w:val="32"/>
          <w:szCs w:val="22"/>
        </w:rPr>
      </w:pPr>
      <w:r w:rsidRPr="007828C4">
        <w:rPr>
          <w:rFonts w:eastAsia="Arial Unicode MS" w:cs="Arial"/>
          <w:b/>
          <w:sz w:val="32"/>
          <w:szCs w:val="22"/>
        </w:rPr>
        <w:t xml:space="preserve">PENSION FUND OPERATIONS AND MEMBERSHIP </w:t>
      </w:r>
    </w:p>
    <w:p w:rsidR="00D66945" w:rsidRPr="007828C4" w:rsidRDefault="00D66945" w:rsidP="00D66945">
      <w:pPr>
        <w:tabs>
          <w:tab w:val="num" w:pos="862"/>
        </w:tabs>
        <w:ind w:left="142"/>
        <w:rPr>
          <w:rFonts w:eastAsia="Arial Unicode MS" w:cs="Arial"/>
          <w:b/>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Lancashire County Pension Fund is part of the Local Government Pension Scheme and is administered by Lancashire County Council. The County Council is the reporting entity for this Pension Fund.  </w:t>
      </w:r>
    </w:p>
    <w:p w:rsidR="00D66945" w:rsidRPr="007828C4" w:rsidRDefault="00D66945" w:rsidP="00D66945">
      <w:pPr>
        <w:rPr>
          <w:rFonts w:eastAsia="Arial Unicode MS" w:cs="Arial"/>
          <w:sz w:val="22"/>
          <w:szCs w:val="22"/>
        </w:rPr>
      </w:pPr>
      <w:r w:rsidRPr="007828C4">
        <w:rPr>
          <w:rFonts w:eastAsia="Arial Unicode MS" w:cs="Arial"/>
          <w:sz w:val="22"/>
          <w:szCs w:val="22"/>
        </w:rPr>
        <w:t>Benefits payable amounted to £</w:t>
      </w:r>
      <w:r w:rsidRPr="002711FB">
        <w:rPr>
          <w:rFonts w:eastAsia="Arial Unicode MS" w:cs="Arial"/>
          <w:sz w:val="22"/>
          <w:szCs w:val="22"/>
        </w:rPr>
        <w:t>272.7</w:t>
      </w:r>
      <w:r w:rsidRPr="007828C4">
        <w:rPr>
          <w:rFonts w:eastAsia="Arial Unicode MS" w:cs="Arial"/>
          <w:sz w:val="22"/>
          <w:szCs w:val="22"/>
        </w:rPr>
        <w:t xml:space="preserve">million and were </w:t>
      </w:r>
      <w:r>
        <w:rPr>
          <w:rFonts w:eastAsia="Arial Unicode MS" w:cs="Arial"/>
          <w:sz w:val="22"/>
          <w:szCs w:val="22"/>
        </w:rPr>
        <w:t>partly funded</w:t>
      </w:r>
      <w:r w:rsidRPr="007828C4">
        <w:rPr>
          <w:rFonts w:eastAsia="Arial Unicode MS" w:cs="Arial"/>
          <w:sz w:val="22"/>
          <w:szCs w:val="22"/>
        </w:rPr>
        <w:t xml:space="preserve"> by contributions of </w:t>
      </w:r>
      <w:r>
        <w:rPr>
          <w:rFonts w:eastAsia="Arial Unicode MS" w:cs="Arial"/>
          <w:sz w:val="22"/>
          <w:szCs w:val="22"/>
        </w:rPr>
        <w:t>£237.9</w:t>
      </w:r>
      <w:r w:rsidRPr="007828C4">
        <w:rPr>
          <w:rFonts w:eastAsia="Arial Unicode MS" w:cs="Arial"/>
          <w:sz w:val="22"/>
          <w:szCs w:val="22"/>
        </w:rPr>
        <w:t xml:space="preserve"> million</w:t>
      </w:r>
      <w:r>
        <w:rPr>
          <w:rFonts w:eastAsia="Arial Unicode MS" w:cs="Arial"/>
          <w:sz w:val="22"/>
          <w:szCs w:val="22"/>
        </w:rPr>
        <w:t xml:space="preserve"> and </w:t>
      </w:r>
      <w:r w:rsidRPr="007828C4">
        <w:rPr>
          <w:rFonts w:eastAsia="Arial Unicode MS" w:cs="Arial"/>
          <w:sz w:val="22"/>
          <w:szCs w:val="22"/>
        </w:rPr>
        <w:t xml:space="preserve">transfers in of </w:t>
      </w:r>
      <w:r>
        <w:rPr>
          <w:rFonts w:eastAsia="Arial Unicode MS" w:cs="Arial"/>
          <w:sz w:val="22"/>
          <w:szCs w:val="22"/>
        </w:rPr>
        <w:t>£11.5</w:t>
      </w:r>
      <w:r w:rsidRPr="007828C4">
        <w:rPr>
          <w:rFonts w:eastAsia="Arial Unicode MS" w:cs="Arial"/>
          <w:sz w:val="22"/>
          <w:szCs w:val="22"/>
        </w:rPr>
        <w:t xml:space="preserve"> million</w:t>
      </w:r>
      <w:r>
        <w:rPr>
          <w:rFonts w:eastAsia="Arial Unicode MS" w:cs="Arial"/>
          <w:sz w:val="22"/>
          <w:szCs w:val="22"/>
        </w:rPr>
        <w:t>.  The resulting net cash outflow from transactions with members, together with management expenses is funded from investment income.</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following description of the Fund is a summary only.  For more detail, reference should be made to the Lancashire County Pension Fund Annual Report </w:t>
      </w:r>
      <w:r>
        <w:rPr>
          <w:rFonts w:eastAsia="Arial Unicode MS" w:cs="Arial"/>
          <w:sz w:val="22"/>
          <w:szCs w:val="22"/>
        </w:rPr>
        <w:t>2017/18</w:t>
      </w:r>
      <w:r w:rsidRPr="007828C4">
        <w:rPr>
          <w:rFonts w:eastAsia="Arial Unicode MS" w:cs="Arial"/>
          <w:sz w:val="22"/>
          <w:szCs w:val="22"/>
        </w:rPr>
        <w:t xml:space="preserve"> and the underlying statutory powers underpinning the scheme, namely the Public Service Pensions Act 2013 and the Local Government Pension Scheme (LGPS) </w:t>
      </w:r>
      <w:r>
        <w:rPr>
          <w:rFonts w:eastAsia="Arial Unicode MS" w:cs="Arial"/>
          <w:sz w:val="22"/>
          <w:szCs w:val="22"/>
        </w:rPr>
        <w:t>R</w:t>
      </w:r>
      <w:r w:rsidRPr="007828C4">
        <w:rPr>
          <w:rFonts w:eastAsia="Arial Unicode MS" w:cs="Arial"/>
          <w:sz w:val="22"/>
          <w:szCs w:val="22"/>
        </w:rPr>
        <w:t>egulations.</w:t>
      </w:r>
    </w:p>
    <w:p w:rsidR="00D66945" w:rsidRPr="007828C4" w:rsidRDefault="00D66945" w:rsidP="00D66945">
      <w:pPr>
        <w:ind w:left="567"/>
        <w:rPr>
          <w:rFonts w:eastAsia="Arial Unicode MS" w:cs="Arial"/>
          <w:sz w:val="22"/>
          <w:szCs w:val="22"/>
        </w:rPr>
      </w:pPr>
    </w:p>
    <w:p w:rsidR="00D66945" w:rsidRPr="007828C4" w:rsidRDefault="00D66945" w:rsidP="00D66945">
      <w:pPr>
        <w:numPr>
          <w:ilvl w:val="1"/>
          <w:numId w:val="11"/>
        </w:numPr>
        <w:spacing w:after="0"/>
        <w:ind w:left="567" w:hanging="567"/>
        <w:contextualSpacing/>
        <w:rPr>
          <w:rFonts w:eastAsia="Arial Unicode MS" w:cs="Arial"/>
          <w:sz w:val="32"/>
          <w:szCs w:val="22"/>
        </w:rPr>
      </w:pPr>
      <w:r w:rsidRPr="007828C4">
        <w:rPr>
          <w:rFonts w:eastAsia="Arial Unicode MS" w:cs="Arial"/>
          <w:b/>
          <w:sz w:val="32"/>
          <w:szCs w:val="22"/>
        </w:rPr>
        <w:t xml:space="preserve"> General</w:t>
      </w:r>
    </w:p>
    <w:p w:rsidR="00D66945" w:rsidRPr="007828C4" w:rsidRDefault="00D66945" w:rsidP="00D66945">
      <w:pPr>
        <w:ind w:left="928"/>
        <w:contextualSpacing/>
        <w:rPr>
          <w:rFonts w:eastAsia="Arial Unicode MS" w:cs="Arial"/>
          <w:sz w:val="22"/>
          <w:szCs w:val="22"/>
        </w:rPr>
      </w:pPr>
    </w:p>
    <w:p w:rsidR="00D66945" w:rsidRPr="007828C4" w:rsidRDefault="00D66945" w:rsidP="00C01A5D">
      <w:pPr>
        <w:rPr>
          <w:rFonts w:eastAsia="Arial Unicode MS" w:cs="Arial"/>
          <w:sz w:val="22"/>
          <w:szCs w:val="22"/>
        </w:rPr>
      </w:pPr>
      <w:r w:rsidRPr="007828C4">
        <w:rPr>
          <w:rFonts w:eastAsia="Arial Unicode MS" w:cs="Arial"/>
          <w:sz w:val="22"/>
          <w:szCs w:val="22"/>
        </w:rPr>
        <w:t>The scheme is governed by the Public Service Pensions Act 2013.  The Fund is administered in accordance with the following secondary legislation:</w:t>
      </w:r>
    </w:p>
    <w:p w:rsidR="00D66945" w:rsidRPr="007828C4" w:rsidRDefault="00D66945" w:rsidP="00D66945">
      <w:pPr>
        <w:numPr>
          <w:ilvl w:val="0"/>
          <w:numId w:val="13"/>
        </w:numPr>
        <w:spacing w:after="0"/>
        <w:contextualSpacing/>
        <w:rPr>
          <w:rFonts w:eastAsia="Arial Unicode MS" w:cs="Arial"/>
          <w:sz w:val="22"/>
          <w:szCs w:val="22"/>
        </w:rPr>
      </w:pPr>
      <w:r w:rsidRPr="007828C4">
        <w:rPr>
          <w:rFonts w:eastAsia="Arial Unicode MS" w:cs="Arial"/>
          <w:sz w:val="22"/>
          <w:szCs w:val="22"/>
        </w:rPr>
        <w:t xml:space="preserve">the Local Government Pension Scheme </w:t>
      </w:r>
      <w:r>
        <w:rPr>
          <w:rFonts w:eastAsia="Arial Unicode MS" w:cs="Arial"/>
          <w:sz w:val="22"/>
          <w:szCs w:val="22"/>
        </w:rPr>
        <w:t xml:space="preserve">(Amendment) </w:t>
      </w:r>
      <w:r w:rsidRPr="007828C4">
        <w:rPr>
          <w:rFonts w:eastAsia="Arial Unicode MS" w:cs="Arial"/>
          <w:sz w:val="22"/>
          <w:szCs w:val="22"/>
        </w:rPr>
        <w:t>Regulations 201</w:t>
      </w:r>
      <w:r>
        <w:rPr>
          <w:rFonts w:eastAsia="Arial Unicode MS" w:cs="Arial"/>
          <w:sz w:val="22"/>
          <w:szCs w:val="22"/>
        </w:rPr>
        <w:t>8</w:t>
      </w:r>
      <w:r w:rsidRPr="007828C4">
        <w:rPr>
          <w:rFonts w:eastAsia="Arial Unicode MS" w:cs="Arial"/>
          <w:sz w:val="22"/>
          <w:szCs w:val="22"/>
        </w:rPr>
        <w:t xml:space="preserve"> </w:t>
      </w:r>
    </w:p>
    <w:p w:rsidR="00D66945" w:rsidRPr="007828C4" w:rsidRDefault="00D66945" w:rsidP="00D66945">
      <w:pPr>
        <w:numPr>
          <w:ilvl w:val="0"/>
          <w:numId w:val="13"/>
        </w:numPr>
        <w:spacing w:after="0"/>
        <w:contextualSpacing/>
        <w:rPr>
          <w:rFonts w:eastAsia="Arial Unicode MS" w:cs="Arial"/>
          <w:sz w:val="22"/>
          <w:szCs w:val="22"/>
        </w:rPr>
      </w:pPr>
      <w:r w:rsidRPr="007828C4">
        <w:rPr>
          <w:rFonts w:eastAsia="Arial Unicode MS" w:cs="Arial"/>
          <w:sz w:val="22"/>
          <w:szCs w:val="22"/>
        </w:rPr>
        <w:t>the Local Government Pension Scheme (Transitional Provisions, Savings and Amendment) Regulations 2014 (as amended)</w:t>
      </w:r>
    </w:p>
    <w:p w:rsidR="00D66945" w:rsidRPr="007828C4" w:rsidRDefault="00D66945" w:rsidP="00D66945">
      <w:pPr>
        <w:numPr>
          <w:ilvl w:val="0"/>
          <w:numId w:val="13"/>
        </w:numPr>
        <w:spacing w:after="0"/>
        <w:contextualSpacing/>
        <w:rPr>
          <w:rFonts w:eastAsia="Arial Unicode MS" w:cs="Arial"/>
          <w:sz w:val="22"/>
          <w:szCs w:val="22"/>
        </w:rPr>
      </w:pPr>
      <w:r w:rsidRPr="007828C4">
        <w:rPr>
          <w:rFonts w:eastAsia="Arial Unicode MS" w:cs="Arial"/>
          <w:sz w:val="22"/>
          <w:szCs w:val="22"/>
        </w:rPr>
        <w:t>the Local Government Pension Scheme (Management and Investment of Funds) Regulations 2016.</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Fund is a contributory defined benefit pension scheme administered by Lancashire County Council to provide pensions and other benefits for pensionable employees of Lancashire County Council, the district councils in Lancashire and a range of other scheduled and admitted bodies within the </w:t>
      </w:r>
      <w:r>
        <w:rPr>
          <w:rFonts w:eastAsia="Arial Unicode MS" w:cs="Arial"/>
          <w:sz w:val="22"/>
          <w:szCs w:val="22"/>
        </w:rPr>
        <w:t xml:space="preserve">geographic </w:t>
      </w:r>
      <w:r w:rsidRPr="007828C4">
        <w:rPr>
          <w:rFonts w:eastAsia="Arial Unicode MS" w:cs="Arial"/>
          <w:sz w:val="22"/>
          <w:szCs w:val="22"/>
        </w:rPr>
        <w:t>county</w:t>
      </w:r>
      <w:r>
        <w:rPr>
          <w:rFonts w:eastAsia="Arial Unicode MS" w:cs="Arial"/>
          <w:sz w:val="22"/>
          <w:szCs w:val="22"/>
        </w:rPr>
        <w:t xml:space="preserve"> of Lancashire</w:t>
      </w:r>
      <w:r w:rsidRPr="007828C4">
        <w:rPr>
          <w:rFonts w:eastAsia="Arial Unicode MS" w:cs="Arial"/>
          <w:sz w:val="22"/>
          <w:szCs w:val="22"/>
        </w:rPr>
        <w:t>.  Teachers, police officers and fire-fighters are not included within the Fund as they come within other national pension schemes.</w:t>
      </w:r>
    </w:p>
    <w:p w:rsidR="00D66945" w:rsidRPr="007828C4" w:rsidRDefault="00D66945" w:rsidP="00D66945">
      <w:pPr>
        <w:rPr>
          <w:rFonts w:eastAsia="Arial Unicode MS" w:cs="Arial"/>
          <w:sz w:val="22"/>
          <w:szCs w:val="22"/>
        </w:rPr>
      </w:pPr>
      <w:r w:rsidRPr="007828C4">
        <w:rPr>
          <w:rFonts w:eastAsia="Arial Unicode MS" w:cs="Arial"/>
          <w:sz w:val="22"/>
          <w:szCs w:val="22"/>
        </w:rPr>
        <w:t>The Fund is overseen by the Lancashire Pension Fund Committee, which reports directly to Full Council.  The Head of Fund is designated as the officer responsible for the management of the Fund.</w:t>
      </w:r>
    </w:p>
    <w:p w:rsidR="00D66945" w:rsidRPr="007828C4" w:rsidRDefault="00D66945" w:rsidP="00D66945">
      <w:pPr>
        <w:rPr>
          <w:rFonts w:eastAsia="Arial Unicode MS" w:cs="Arial"/>
          <w:sz w:val="22"/>
          <w:szCs w:val="22"/>
        </w:rPr>
      </w:pPr>
      <w:r w:rsidRPr="007828C4">
        <w:rPr>
          <w:rFonts w:eastAsia="Arial Unicode MS" w:cs="Arial"/>
          <w:sz w:val="22"/>
          <w:szCs w:val="22"/>
        </w:rPr>
        <w:t>The Pension Fund Committee comprises fourteen County Councillors and seven voting co-optees representing the further and higher education sectors, the Lancashire borough, district and city councils, Blackburn with Darwen Council, Blackpool Council and trade unions.</w:t>
      </w:r>
    </w:p>
    <w:p w:rsidR="00D66945" w:rsidRPr="007828C4" w:rsidRDefault="00D66945" w:rsidP="00D66945">
      <w:pPr>
        <w:rPr>
          <w:rFonts w:eastAsia="Arial Unicode MS" w:cs="Arial"/>
          <w:sz w:val="22"/>
          <w:szCs w:val="22"/>
        </w:rPr>
      </w:pPr>
      <w:r w:rsidRPr="007828C4">
        <w:rPr>
          <w:rFonts w:eastAsia="Arial Unicode MS" w:cs="Arial"/>
          <w:sz w:val="22"/>
          <w:szCs w:val="22"/>
        </w:rPr>
        <w:t>The Committee meets at least quarterly, or otherwise as necessary, with the Investment Panel in attendance and is responsible for fulfilling the role of Scheme Manager (which includes the administration of benefits and strategic management of Fund investments and liabilities), the establishment of policies for investment management, the monitoring and review of investment activity and Fund performance and the presentation of an annual report to Full Council on the state of the Fund and investment activities for the year.</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Investment Panel provides professional expert advice and makes recommendations to the Committee in relation to investment strategy.  The Panel comprises the Head of Fund as Chair and two independent advisers. </w:t>
      </w:r>
    </w:p>
    <w:p w:rsidR="00D66945" w:rsidRPr="007828C4" w:rsidRDefault="00D66945" w:rsidP="00D66945">
      <w:pPr>
        <w:rPr>
          <w:rFonts w:eastAsia="Arial Unicode MS" w:cs="Arial"/>
          <w:color w:val="0000FF"/>
          <w:sz w:val="22"/>
          <w:szCs w:val="22"/>
          <w:u w:val="single"/>
        </w:rPr>
      </w:pPr>
      <w:r w:rsidRPr="007828C4">
        <w:rPr>
          <w:rFonts w:eastAsia="Arial Unicode MS" w:cs="Arial"/>
          <w:sz w:val="22"/>
          <w:szCs w:val="22"/>
        </w:rPr>
        <w:t xml:space="preserve">Full details of the responsibilities of the Panel and Committee are published in the Investment Strategy Statement which is available from the Fund website at </w:t>
      </w:r>
      <w:hyperlink r:id="rId26" w:history="1">
        <w:r w:rsidRPr="007828C4">
          <w:rPr>
            <w:rFonts w:eastAsia="Arial Unicode MS" w:cs="Arial"/>
            <w:color w:val="0000FF"/>
            <w:sz w:val="22"/>
            <w:szCs w:val="22"/>
            <w:u w:val="single"/>
          </w:rPr>
          <w:t>Your Pension Service - Lancashire Fund Information</w:t>
        </w:r>
      </w:hyperlink>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investments of the Fund are managed by external investment managers, including the Local Pensions Partnership (LPP), a joint </w:t>
      </w:r>
      <w:r>
        <w:rPr>
          <w:rFonts w:eastAsia="Arial Unicode MS" w:cs="Arial"/>
          <w:sz w:val="22"/>
          <w:szCs w:val="22"/>
        </w:rPr>
        <w:t xml:space="preserve">venture </w:t>
      </w:r>
      <w:r w:rsidRPr="007828C4">
        <w:rPr>
          <w:rFonts w:eastAsia="Arial Unicode MS" w:cs="Arial"/>
          <w:sz w:val="22"/>
          <w:szCs w:val="22"/>
        </w:rPr>
        <w:t>owned, in equal shares, by Lancashire County Council and the London Pension Fund Authority (LPFA).  LPP manages the administration and investment functions on behalf of the two partner authorities.</w:t>
      </w:r>
    </w:p>
    <w:p w:rsidR="00D66945" w:rsidRPr="007828C4" w:rsidRDefault="00D66945" w:rsidP="00D66945">
      <w:pPr>
        <w:numPr>
          <w:ilvl w:val="1"/>
          <w:numId w:val="11"/>
        </w:numPr>
        <w:spacing w:after="0"/>
        <w:ind w:left="567" w:hanging="567"/>
        <w:contextualSpacing/>
        <w:rPr>
          <w:rFonts w:eastAsia="Arial Unicode MS" w:cs="Arial"/>
          <w:sz w:val="32"/>
          <w:szCs w:val="22"/>
        </w:rPr>
      </w:pPr>
      <w:r w:rsidRPr="007828C4">
        <w:rPr>
          <w:rFonts w:eastAsia="Arial Unicode MS" w:cs="Arial"/>
          <w:b/>
          <w:sz w:val="32"/>
          <w:szCs w:val="22"/>
        </w:rPr>
        <w:t xml:space="preserve">  Membership</w:t>
      </w:r>
    </w:p>
    <w:p w:rsidR="00D66945" w:rsidRPr="007828C4" w:rsidRDefault="00D66945" w:rsidP="00D66945">
      <w:pPr>
        <w:ind w:left="928"/>
        <w:contextualSpacing/>
        <w:rPr>
          <w:rFonts w:eastAsia="Arial Unicode MS" w:cs="Arial"/>
          <w:sz w:val="22"/>
          <w:szCs w:val="22"/>
        </w:rPr>
      </w:pPr>
    </w:p>
    <w:p w:rsidR="00D66945" w:rsidRPr="007828C4" w:rsidRDefault="00D66945" w:rsidP="00D66945">
      <w:pPr>
        <w:contextualSpacing/>
        <w:rPr>
          <w:rFonts w:eastAsia="Arial Unicode MS" w:cs="Arial"/>
          <w:sz w:val="22"/>
          <w:szCs w:val="22"/>
        </w:rPr>
      </w:pPr>
      <w:r w:rsidRPr="007828C4">
        <w:rPr>
          <w:rFonts w:eastAsia="Arial Unicode MS" w:cs="Arial"/>
          <w:sz w:val="22"/>
          <w:szCs w:val="22"/>
        </w:rPr>
        <w:t>Membership of the LGPS is</w:t>
      </w:r>
      <w:r w:rsidRPr="007828C4">
        <w:rPr>
          <w:rFonts w:eastAsia="Arial Unicode MS" w:cs="Arial"/>
          <w:iCs/>
          <w:sz w:val="22"/>
          <w:szCs w:val="22"/>
        </w:rPr>
        <w:t xml:space="preserve"> automatic although employees are free to opt out of the scheme</w:t>
      </w:r>
      <w:r w:rsidRPr="007828C4">
        <w:rPr>
          <w:rFonts w:eastAsia="Arial Unicode MS" w:cs="Arial"/>
          <w:sz w:val="22"/>
          <w:szCs w:val="22"/>
        </w:rPr>
        <w:t>, remain in the scheme or make their own personal arrangements outside the scheme. Employees are re-enrolled every 3 years under the government's auto-enrolment regulations.</w:t>
      </w:r>
    </w:p>
    <w:p w:rsidR="00D66945" w:rsidRPr="007828C4" w:rsidRDefault="00D66945" w:rsidP="00D66945">
      <w:pPr>
        <w:ind w:left="567"/>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Organisations participating in the Lancashire County Pension Fund include:</w:t>
      </w:r>
    </w:p>
    <w:p w:rsidR="00D66945" w:rsidRPr="007828C4" w:rsidRDefault="00D66945" w:rsidP="00D66945">
      <w:pPr>
        <w:numPr>
          <w:ilvl w:val="0"/>
          <w:numId w:val="7"/>
        </w:numPr>
        <w:spacing w:after="0"/>
        <w:contextualSpacing/>
        <w:rPr>
          <w:rFonts w:eastAsia="Arial Unicode MS" w:cs="Arial"/>
          <w:sz w:val="22"/>
          <w:szCs w:val="22"/>
        </w:rPr>
      </w:pPr>
      <w:r w:rsidRPr="007828C4">
        <w:rPr>
          <w:rFonts w:eastAsia="Arial Unicode MS" w:cs="Arial"/>
          <w:sz w:val="22"/>
          <w:szCs w:val="22"/>
        </w:rPr>
        <w:t>Scheduled bodies, which are local authorities and similar bodies whose staff are automatically entitled to be members of the Fund.</w:t>
      </w:r>
    </w:p>
    <w:p w:rsidR="00D66945" w:rsidRPr="007828C4" w:rsidRDefault="00D66945" w:rsidP="00D66945">
      <w:pPr>
        <w:ind w:left="1287"/>
        <w:contextualSpacing/>
        <w:rPr>
          <w:rFonts w:eastAsia="Arial Unicode MS" w:cs="Arial"/>
          <w:sz w:val="22"/>
          <w:szCs w:val="22"/>
        </w:rPr>
      </w:pPr>
    </w:p>
    <w:p w:rsidR="00D66945" w:rsidRPr="007828C4" w:rsidRDefault="00D66945" w:rsidP="00D66945">
      <w:pPr>
        <w:numPr>
          <w:ilvl w:val="0"/>
          <w:numId w:val="7"/>
        </w:numPr>
        <w:spacing w:after="0"/>
        <w:contextualSpacing/>
        <w:rPr>
          <w:rFonts w:eastAsia="Arial Unicode MS" w:cs="Arial"/>
          <w:sz w:val="22"/>
          <w:szCs w:val="22"/>
        </w:rPr>
      </w:pPr>
      <w:r w:rsidRPr="007828C4">
        <w:rPr>
          <w:rFonts w:eastAsia="Arial Unicode MS" w:cs="Arial"/>
          <w:sz w:val="22"/>
          <w:szCs w:val="22"/>
        </w:rPr>
        <w:t>Admitted bodies, which are other organisations that participate in the Fund under an admission agreement between the Fund and the relevant organisation.  Admitted bodies include voluntary, charitable and similar bodies or private contractors undertaking a local authority function following outsourcing to the private sector.</w:t>
      </w:r>
    </w:p>
    <w:p w:rsidR="00D66945" w:rsidRPr="007828C4" w:rsidRDefault="00D66945" w:rsidP="00D66945">
      <w:pPr>
        <w:ind w:left="720"/>
        <w:contextualSpacing/>
        <w:rPr>
          <w:rFonts w:eastAsia="Arial Unicode MS" w:cs="Arial"/>
          <w:sz w:val="22"/>
          <w:szCs w:val="22"/>
        </w:rPr>
      </w:pPr>
    </w:p>
    <w:p w:rsidR="00D66945" w:rsidRPr="007828C4" w:rsidRDefault="00D66945" w:rsidP="00D66945">
      <w:pPr>
        <w:contextualSpacing/>
        <w:rPr>
          <w:rFonts w:eastAsia="Arial Unicode MS" w:cs="Arial"/>
          <w:sz w:val="22"/>
          <w:szCs w:val="22"/>
        </w:rPr>
      </w:pPr>
      <w:r w:rsidRPr="007828C4">
        <w:rPr>
          <w:rFonts w:eastAsia="Arial Unicode MS" w:cs="Arial"/>
          <w:sz w:val="22"/>
          <w:szCs w:val="22"/>
        </w:rPr>
        <w:t xml:space="preserve">There are </w:t>
      </w:r>
      <w:r>
        <w:rPr>
          <w:rFonts w:eastAsia="Arial Unicode MS" w:cs="Arial"/>
          <w:sz w:val="22"/>
          <w:szCs w:val="22"/>
        </w:rPr>
        <w:t>412</w:t>
      </w:r>
      <w:r w:rsidRPr="007828C4">
        <w:rPr>
          <w:rFonts w:eastAsia="Arial Unicode MS" w:cs="Arial"/>
          <w:sz w:val="22"/>
          <w:szCs w:val="22"/>
        </w:rPr>
        <w:t xml:space="preserve"> employer organisations (</w:t>
      </w:r>
      <w:r>
        <w:rPr>
          <w:rFonts w:eastAsia="Arial Unicode MS" w:cs="Arial"/>
          <w:sz w:val="22"/>
          <w:szCs w:val="22"/>
        </w:rPr>
        <w:t>2016/17</w:t>
      </w:r>
      <w:r w:rsidRPr="007828C4">
        <w:rPr>
          <w:rFonts w:eastAsia="Arial Unicode MS" w:cs="Arial"/>
          <w:sz w:val="22"/>
          <w:szCs w:val="22"/>
        </w:rPr>
        <w:t xml:space="preserve">: </w:t>
      </w:r>
      <w:r>
        <w:rPr>
          <w:rFonts w:eastAsia="Arial Unicode MS" w:cs="Arial"/>
          <w:sz w:val="22"/>
          <w:szCs w:val="22"/>
        </w:rPr>
        <w:t>413</w:t>
      </w:r>
      <w:r w:rsidRPr="007828C4">
        <w:rPr>
          <w:rFonts w:eastAsia="Arial Unicode MS" w:cs="Arial"/>
          <w:sz w:val="22"/>
          <w:szCs w:val="22"/>
        </w:rPr>
        <w:t xml:space="preserve"> employer organisations) within Lancashire County Pension Fund including the County Council itself, of which </w:t>
      </w:r>
      <w:r>
        <w:rPr>
          <w:rFonts w:eastAsia="Arial Unicode MS" w:cs="Arial"/>
          <w:sz w:val="22"/>
          <w:szCs w:val="22"/>
        </w:rPr>
        <w:t>287</w:t>
      </w:r>
      <w:r w:rsidRPr="007828C4">
        <w:rPr>
          <w:rFonts w:eastAsia="Arial Unicode MS" w:cs="Arial"/>
          <w:sz w:val="22"/>
          <w:szCs w:val="22"/>
        </w:rPr>
        <w:t xml:space="preserve"> have active members (</w:t>
      </w:r>
      <w:r>
        <w:rPr>
          <w:rFonts w:eastAsia="Arial Unicode MS" w:cs="Arial"/>
          <w:sz w:val="22"/>
          <w:szCs w:val="22"/>
        </w:rPr>
        <w:t>2016/17</w:t>
      </w:r>
      <w:r w:rsidRPr="007828C4">
        <w:rPr>
          <w:rFonts w:eastAsia="Arial Unicode MS" w:cs="Arial"/>
          <w:sz w:val="22"/>
          <w:szCs w:val="22"/>
        </w:rPr>
        <w:t>: 2</w:t>
      </w:r>
      <w:r>
        <w:rPr>
          <w:rFonts w:eastAsia="Arial Unicode MS" w:cs="Arial"/>
          <w:sz w:val="22"/>
          <w:szCs w:val="22"/>
        </w:rPr>
        <w:t>87</w:t>
      </w:r>
      <w:r w:rsidRPr="007828C4">
        <w:rPr>
          <w:rFonts w:eastAsia="Arial Unicode MS" w:cs="Arial"/>
          <w:sz w:val="22"/>
          <w:szCs w:val="22"/>
        </w:rPr>
        <w:t>) as detailed below:</w:t>
      </w:r>
    </w:p>
    <w:p w:rsidR="00D66945" w:rsidRPr="007828C4" w:rsidRDefault="00D66945" w:rsidP="00D66945">
      <w:pPr>
        <w:ind w:left="567"/>
        <w:contextualSpacing/>
        <w:rPr>
          <w:rFonts w:eastAsia="Arial Unicode MS" w:cs="Arial"/>
          <w:sz w:val="22"/>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221" w:type="dxa"/>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22"/>
              </w:rPr>
              <w:t>Lancashire County Pension Fund</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413</w:t>
            </w:r>
          </w:p>
        </w:tc>
        <w:tc>
          <w:tcPr>
            <w:tcW w:w="6221" w:type="dxa"/>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 xml:space="preserve">Total number of employers </w:t>
            </w:r>
          </w:p>
        </w:tc>
        <w:tc>
          <w:tcPr>
            <w:tcW w:w="1701" w:type="dxa"/>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412</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287</w:t>
            </w:r>
          </w:p>
        </w:tc>
        <w:tc>
          <w:tcPr>
            <w:tcW w:w="6221" w:type="dxa"/>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Number of employers with active members</w:t>
            </w:r>
            <w:r>
              <w:rPr>
                <w:rFonts w:eastAsia="Arial Unicode MS" w:cs="Arial"/>
                <w:sz w:val="20"/>
                <w:szCs w:val="22"/>
              </w:rPr>
              <w:t>*</w:t>
            </w:r>
          </w:p>
        </w:tc>
        <w:tc>
          <w:tcPr>
            <w:tcW w:w="1701" w:type="dxa"/>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287</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r w:rsidRPr="007828C4">
              <w:rPr>
                <w:rFonts w:eastAsia="Arial Unicode MS" w:cs="Arial"/>
                <w:b/>
                <w:sz w:val="20"/>
                <w:szCs w:val="22"/>
              </w:rPr>
              <w:t>Number of active scheme members</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26,416</w:t>
            </w:r>
          </w:p>
        </w:tc>
        <w:tc>
          <w:tcPr>
            <w:tcW w:w="6221" w:type="dxa"/>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County Council</w:t>
            </w:r>
          </w:p>
        </w:tc>
        <w:tc>
          <w:tcPr>
            <w:tcW w:w="1701" w:type="dxa"/>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27,059</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29,499</w:t>
            </w:r>
          </w:p>
        </w:tc>
        <w:tc>
          <w:tcPr>
            <w:tcW w:w="6221" w:type="dxa"/>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Other employers</w:t>
            </w:r>
          </w:p>
        </w:tc>
        <w:tc>
          <w:tcPr>
            <w:tcW w:w="1701" w:type="dxa"/>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29,817</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55,915</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2"/>
              </w:rPr>
              <w:t>Total</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56,876</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r w:rsidRPr="007828C4">
              <w:rPr>
                <w:rFonts w:eastAsia="Arial Unicode MS" w:cs="Arial"/>
                <w:b/>
                <w:sz w:val="20"/>
                <w:szCs w:val="22"/>
              </w:rPr>
              <w:t>Number of pensioners</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23,141</w:t>
            </w:r>
          </w:p>
        </w:tc>
        <w:tc>
          <w:tcPr>
            <w:tcW w:w="6221" w:type="dxa"/>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County Council</w:t>
            </w:r>
          </w:p>
        </w:tc>
        <w:tc>
          <w:tcPr>
            <w:tcW w:w="1701" w:type="dxa"/>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23,722</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23,012</w:t>
            </w:r>
          </w:p>
        </w:tc>
        <w:tc>
          <w:tcPr>
            <w:tcW w:w="6221" w:type="dxa"/>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Other employers</w:t>
            </w:r>
          </w:p>
        </w:tc>
        <w:tc>
          <w:tcPr>
            <w:tcW w:w="1701" w:type="dxa"/>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23,723</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46,153</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2"/>
              </w:rPr>
              <w:t>Total</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47,445</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2"/>
              </w:rPr>
              <w:t>Number of deferred pensioners</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34,668</w:t>
            </w:r>
          </w:p>
        </w:tc>
        <w:tc>
          <w:tcPr>
            <w:tcW w:w="6221" w:type="dxa"/>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County Council</w:t>
            </w:r>
          </w:p>
        </w:tc>
        <w:tc>
          <w:tcPr>
            <w:tcW w:w="1701" w:type="dxa"/>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35,477</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30,573</w:t>
            </w:r>
          </w:p>
        </w:tc>
        <w:tc>
          <w:tcPr>
            <w:tcW w:w="6221" w:type="dxa"/>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Other employers</w:t>
            </w:r>
          </w:p>
        </w:tc>
        <w:tc>
          <w:tcPr>
            <w:tcW w:w="1701" w:type="dxa"/>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32,276</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65,241</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2"/>
              </w:rPr>
              <w:t>Total</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67,753</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167,309</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2"/>
              </w:rPr>
              <w:t>Total membership</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172,074</w:t>
            </w:r>
          </w:p>
        </w:tc>
      </w:tr>
    </w:tbl>
    <w:p w:rsidR="00D66945" w:rsidRDefault="00D66945" w:rsidP="00D66945">
      <w:pPr>
        <w:contextualSpacing/>
        <w:rPr>
          <w:rFonts w:eastAsia="Arial Unicode MS" w:cs="Arial"/>
          <w:sz w:val="22"/>
          <w:szCs w:val="22"/>
        </w:rPr>
      </w:pPr>
      <w:r>
        <w:rPr>
          <w:rFonts w:eastAsia="Arial Unicode MS" w:cs="Arial"/>
          <w:sz w:val="22"/>
          <w:szCs w:val="22"/>
        </w:rPr>
        <w:t>*</w:t>
      </w:r>
      <w:r w:rsidRPr="0003472A">
        <w:rPr>
          <w:rFonts w:eastAsia="Arial Unicode MS" w:cs="Arial"/>
          <w:sz w:val="20"/>
          <w:szCs w:val="20"/>
        </w:rPr>
        <w:t>Includes employers for whom admission to the Fund is in progress</w:t>
      </w:r>
    </w:p>
    <w:p w:rsidR="00D66945" w:rsidRDefault="00D66945" w:rsidP="00D66945">
      <w:pPr>
        <w:contextualSpacing/>
        <w:rPr>
          <w:rFonts w:eastAsia="Arial Unicode MS" w:cs="Arial"/>
          <w:sz w:val="22"/>
          <w:szCs w:val="22"/>
        </w:rPr>
      </w:pPr>
    </w:p>
    <w:p w:rsidR="00C01A5D" w:rsidRDefault="00C01A5D" w:rsidP="00D66945">
      <w:pPr>
        <w:contextualSpacing/>
        <w:rPr>
          <w:rFonts w:eastAsia="Arial Unicode MS" w:cs="Arial"/>
          <w:sz w:val="22"/>
          <w:szCs w:val="22"/>
        </w:rPr>
      </w:pPr>
    </w:p>
    <w:p w:rsidR="00C01A5D" w:rsidRDefault="00C01A5D" w:rsidP="00D66945">
      <w:pPr>
        <w:contextualSpacing/>
        <w:rPr>
          <w:rFonts w:eastAsia="Arial Unicode MS" w:cs="Arial"/>
          <w:sz w:val="22"/>
          <w:szCs w:val="22"/>
        </w:rPr>
      </w:pPr>
    </w:p>
    <w:p w:rsidR="00C01A5D" w:rsidRDefault="00C01A5D" w:rsidP="00D66945">
      <w:pPr>
        <w:contextualSpacing/>
        <w:rPr>
          <w:rFonts w:eastAsia="Arial Unicode MS" w:cs="Arial"/>
          <w:sz w:val="22"/>
          <w:szCs w:val="22"/>
        </w:rPr>
      </w:pPr>
    </w:p>
    <w:p w:rsidR="00C01A5D" w:rsidRDefault="00C01A5D" w:rsidP="00D66945">
      <w:pPr>
        <w:contextualSpacing/>
        <w:rPr>
          <w:rFonts w:eastAsia="Arial Unicode MS" w:cs="Arial"/>
          <w:sz w:val="22"/>
          <w:szCs w:val="22"/>
        </w:rPr>
      </w:pPr>
    </w:p>
    <w:p w:rsidR="00C01A5D" w:rsidRPr="00225D88" w:rsidRDefault="00C01A5D" w:rsidP="00D66945">
      <w:pPr>
        <w:contextualSpacing/>
        <w:rPr>
          <w:rFonts w:eastAsia="Arial Unicode MS" w:cs="Arial"/>
          <w:sz w:val="22"/>
          <w:szCs w:val="22"/>
        </w:rPr>
      </w:pPr>
    </w:p>
    <w:p w:rsidR="00D66945" w:rsidRPr="007828C4" w:rsidRDefault="00D66945" w:rsidP="00D66945">
      <w:pPr>
        <w:numPr>
          <w:ilvl w:val="1"/>
          <w:numId w:val="11"/>
        </w:numPr>
        <w:spacing w:after="0"/>
        <w:ind w:left="567" w:hanging="567"/>
        <w:contextualSpacing/>
        <w:rPr>
          <w:rFonts w:eastAsia="Arial Unicode MS" w:cs="Arial"/>
          <w:sz w:val="32"/>
          <w:szCs w:val="22"/>
        </w:rPr>
      </w:pPr>
      <w:r w:rsidRPr="007828C4">
        <w:rPr>
          <w:rFonts w:eastAsia="Arial Unicode MS" w:cs="Arial"/>
          <w:b/>
          <w:sz w:val="32"/>
          <w:szCs w:val="22"/>
        </w:rPr>
        <w:t xml:space="preserve">  Funding</w:t>
      </w:r>
    </w:p>
    <w:p w:rsidR="00D66945" w:rsidRPr="007828C4" w:rsidRDefault="00D66945" w:rsidP="00D66945">
      <w:pPr>
        <w:ind w:left="928"/>
        <w:contextualSpacing/>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Benefits are funded by contributions and investment earnings.  Employee contributions are made by active members of the Fund in accordance with the LGPS </w:t>
      </w:r>
      <w:r>
        <w:rPr>
          <w:rFonts w:eastAsia="Arial Unicode MS" w:cs="Arial"/>
          <w:sz w:val="22"/>
          <w:szCs w:val="22"/>
        </w:rPr>
        <w:t xml:space="preserve">(Amendment) </w:t>
      </w:r>
      <w:r w:rsidRPr="007828C4">
        <w:rPr>
          <w:rFonts w:eastAsia="Arial Unicode MS" w:cs="Arial"/>
          <w:sz w:val="22"/>
          <w:szCs w:val="22"/>
        </w:rPr>
        <w:t>Regulations 201</w:t>
      </w:r>
      <w:r>
        <w:rPr>
          <w:rFonts w:eastAsia="Arial Unicode MS" w:cs="Arial"/>
          <w:sz w:val="22"/>
          <w:szCs w:val="22"/>
        </w:rPr>
        <w:t>8</w:t>
      </w:r>
      <w:r w:rsidRPr="007828C4">
        <w:rPr>
          <w:rFonts w:eastAsia="Arial Unicode MS" w:cs="Arial"/>
          <w:sz w:val="22"/>
          <w:szCs w:val="22"/>
        </w:rPr>
        <w:t xml:space="preserve"> and range from </w:t>
      </w:r>
      <w:r>
        <w:rPr>
          <w:rFonts w:eastAsia="Arial Unicode MS" w:cs="Arial"/>
          <w:sz w:val="22"/>
          <w:szCs w:val="22"/>
        </w:rPr>
        <w:t>5.5</w:t>
      </w:r>
      <w:r w:rsidRPr="007828C4">
        <w:rPr>
          <w:rFonts w:eastAsia="Arial Unicode MS" w:cs="Arial"/>
          <w:sz w:val="22"/>
          <w:szCs w:val="22"/>
        </w:rPr>
        <w:t xml:space="preserve"> % to </w:t>
      </w:r>
      <w:r w:rsidRPr="00F34271">
        <w:rPr>
          <w:rFonts w:eastAsia="Arial Unicode MS" w:cs="Arial"/>
          <w:sz w:val="22"/>
          <w:szCs w:val="22"/>
        </w:rPr>
        <w:t>12.5%</w:t>
      </w:r>
      <w:r w:rsidRPr="007828C4">
        <w:rPr>
          <w:rFonts w:eastAsia="Arial Unicode MS" w:cs="Arial"/>
          <w:sz w:val="22"/>
          <w:szCs w:val="22"/>
        </w:rPr>
        <w:t xml:space="preserve"> of pensionable pay for the financial year ending 31 March 201</w:t>
      </w:r>
      <w:r>
        <w:rPr>
          <w:rFonts w:eastAsia="Arial Unicode MS" w:cs="Arial"/>
          <w:sz w:val="22"/>
          <w:szCs w:val="22"/>
        </w:rPr>
        <w:t>8</w:t>
      </w:r>
      <w:r w:rsidRPr="007828C4">
        <w:rPr>
          <w:rFonts w:eastAsia="Arial Unicode MS" w:cs="Arial"/>
          <w:sz w:val="22"/>
          <w:szCs w:val="22"/>
        </w:rPr>
        <w:t xml:space="preserve">.  </w:t>
      </w:r>
      <w:r>
        <w:rPr>
          <w:rFonts w:eastAsia="Arial Unicode MS" w:cs="Arial"/>
          <w:sz w:val="22"/>
          <w:szCs w:val="22"/>
        </w:rPr>
        <w:t>E</w:t>
      </w:r>
      <w:r w:rsidRPr="007828C4">
        <w:rPr>
          <w:rFonts w:eastAsia="Arial Unicode MS" w:cs="Arial"/>
          <w:sz w:val="22"/>
          <w:szCs w:val="22"/>
        </w:rPr>
        <w:t>mployer</w:t>
      </w:r>
      <w:r>
        <w:rPr>
          <w:rFonts w:eastAsia="Arial Unicode MS" w:cs="Arial"/>
          <w:sz w:val="22"/>
          <w:szCs w:val="22"/>
        </w:rPr>
        <w:t xml:space="preserve"> </w:t>
      </w:r>
      <w:r w:rsidRPr="007828C4">
        <w:rPr>
          <w:rFonts w:eastAsia="Arial Unicode MS" w:cs="Arial"/>
          <w:sz w:val="22"/>
          <w:szCs w:val="22"/>
        </w:rPr>
        <w:t xml:space="preserve">contributions </w:t>
      </w:r>
      <w:r>
        <w:rPr>
          <w:rFonts w:eastAsia="Arial Unicode MS" w:cs="Arial"/>
          <w:sz w:val="22"/>
          <w:szCs w:val="22"/>
        </w:rPr>
        <w:t>a</w:t>
      </w:r>
      <w:r w:rsidRPr="007828C4">
        <w:rPr>
          <w:rFonts w:eastAsia="Arial Unicode MS" w:cs="Arial"/>
          <w:sz w:val="22"/>
          <w:szCs w:val="22"/>
        </w:rPr>
        <w:t>re set based on triennial actuarial funding valuations.  The last such valuation was at 31 March 2016 for the three years commencing 1 April 2017.</w:t>
      </w:r>
    </w:p>
    <w:p w:rsidR="00D66945" w:rsidRPr="007828C4" w:rsidRDefault="00D66945" w:rsidP="00D66945">
      <w:pPr>
        <w:ind w:left="709"/>
        <w:rPr>
          <w:rFonts w:eastAsia="Arial Unicode MS" w:cs="Arial"/>
          <w:sz w:val="22"/>
          <w:szCs w:val="22"/>
        </w:rPr>
      </w:pPr>
    </w:p>
    <w:p w:rsidR="00D66945" w:rsidRPr="007828C4" w:rsidRDefault="00D66945" w:rsidP="00D66945">
      <w:pPr>
        <w:numPr>
          <w:ilvl w:val="1"/>
          <w:numId w:val="11"/>
        </w:numPr>
        <w:tabs>
          <w:tab w:val="left" w:pos="720"/>
        </w:tabs>
        <w:spacing w:after="0"/>
        <w:ind w:left="567" w:hanging="567"/>
        <w:contextualSpacing/>
        <w:rPr>
          <w:rFonts w:eastAsia="Arial Unicode MS" w:cs="Arial"/>
          <w:b/>
          <w:sz w:val="32"/>
          <w:szCs w:val="22"/>
        </w:rPr>
      </w:pPr>
      <w:r w:rsidRPr="007828C4">
        <w:rPr>
          <w:rFonts w:eastAsia="Arial Unicode MS" w:cs="Arial"/>
          <w:b/>
          <w:sz w:val="32"/>
          <w:szCs w:val="22"/>
        </w:rPr>
        <w:t xml:space="preserve">  Benefits</w:t>
      </w:r>
    </w:p>
    <w:p w:rsidR="00D66945" w:rsidRPr="007828C4" w:rsidRDefault="00D66945" w:rsidP="00D66945">
      <w:pPr>
        <w:tabs>
          <w:tab w:val="left" w:pos="720"/>
        </w:tabs>
        <w:ind w:left="928"/>
        <w:contextualSpacing/>
        <w:rPr>
          <w:rFonts w:eastAsia="Arial Unicode MS" w:cs="Arial"/>
          <w:b/>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Prior to 1 April 2014, pension benefits under the LGPS were based on final pensionable pay and length of pensionable service, as detailed in the following summary:</w:t>
      </w:r>
    </w:p>
    <w:tbl>
      <w:tblPr>
        <w:tblStyle w:val="TableGrid12"/>
        <w:tblW w:w="0" w:type="auto"/>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136"/>
        <w:gridCol w:w="2284"/>
        <w:gridCol w:w="2611"/>
        <w:gridCol w:w="2562"/>
      </w:tblGrid>
      <w:tr w:rsidR="00D66945" w:rsidRPr="007828C4" w:rsidTr="00A33453">
        <w:trPr>
          <w:trHeight w:val="521"/>
        </w:trPr>
        <w:tc>
          <w:tcPr>
            <w:tcW w:w="2136" w:type="dxa"/>
            <w:shd w:val="clear" w:color="auto" w:fill="E7E6E6" w:themeFill="background2"/>
          </w:tcPr>
          <w:p w:rsidR="00D66945" w:rsidRPr="007828C4" w:rsidRDefault="00D66945" w:rsidP="00A33453">
            <w:pPr>
              <w:rPr>
                <w:rFonts w:eastAsia="Arial Unicode MS" w:cs="Arial"/>
                <w:sz w:val="22"/>
                <w:szCs w:val="22"/>
              </w:rPr>
            </w:pPr>
          </w:p>
        </w:tc>
        <w:tc>
          <w:tcPr>
            <w:tcW w:w="2284" w:type="dxa"/>
            <w:shd w:val="clear" w:color="auto" w:fill="E7E6E6" w:themeFill="background2"/>
          </w:tcPr>
          <w:p w:rsidR="00D66945" w:rsidRPr="007828C4" w:rsidRDefault="00D66945" w:rsidP="00A33453">
            <w:pPr>
              <w:rPr>
                <w:rFonts w:eastAsia="Arial Unicode MS" w:cs="Arial"/>
                <w:b/>
                <w:sz w:val="22"/>
                <w:szCs w:val="22"/>
              </w:rPr>
            </w:pPr>
            <w:r w:rsidRPr="007828C4">
              <w:rPr>
                <w:rFonts w:eastAsia="Arial Unicode MS" w:cs="Arial"/>
                <w:b/>
                <w:sz w:val="22"/>
                <w:szCs w:val="22"/>
              </w:rPr>
              <w:t>Service Pre 1 April 2008</w:t>
            </w:r>
          </w:p>
        </w:tc>
        <w:tc>
          <w:tcPr>
            <w:tcW w:w="2611" w:type="dxa"/>
            <w:shd w:val="clear" w:color="auto" w:fill="E7E6E6" w:themeFill="background2"/>
          </w:tcPr>
          <w:p w:rsidR="00D66945" w:rsidRPr="007828C4" w:rsidRDefault="00D66945" w:rsidP="00A33453">
            <w:pPr>
              <w:rPr>
                <w:rFonts w:eastAsia="Arial Unicode MS" w:cs="Arial"/>
                <w:b/>
                <w:sz w:val="22"/>
                <w:szCs w:val="22"/>
              </w:rPr>
            </w:pPr>
            <w:r w:rsidRPr="007828C4">
              <w:rPr>
                <w:rFonts w:eastAsia="Arial Unicode MS" w:cs="Arial"/>
                <w:b/>
                <w:sz w:val="22"/>
                <w:szCs w:val="22"/>
              </w:rPr>
              <w:t>Service post 31 March 2008</w:t>
            </w:r>
          </w:p>
        </w:tc>
        <w:tc>
          <w:tcPr>
            <w:tcW w:w="2562" w:type="dxa"/>
            <w:shd w:val="clear" w:color="auto" w:fill="E7E6E6" w:themeFill="background2"/>
          </w:tcPr>
          <w:p w:rsidR="00D66945" w:rsidRPr="007828C4" w:rsidRDefault="00D66945" w:rsidP="00A33453">
            <w:pPr>
              <w:rPr>
                <w:rFonts w:eastAsia="Arial Unicode MS" w:cs="Arial"/>
                <w:b/>
                <w:sz w:val="22"/>
                <w:szCs w:val="22"/>
              </w:rPr>
            </w:pPr>
            <w:r w:rsidRPr="007828C4">
              <w:rPr>
                <w:rFonts w:eastAsia="Arial Unicode MS" w:cs="Arial"/>
                <w:b/>
                <w:sz w:val="22"/>
                <w:szCs w:val="22"/>
              </w:rPr>
              <w:t>Service post 1 April 2014</w:t>
            </w:r>
          </w:p>
        </w:tc>
      </w:tr>
      <w:tr w:rsidR="00D66945" w:rsidRPr="007828C4" w:rsidTr="00A33453">
        <w:trPr>
          <w:trHeight w:val="841"/>
        </w:trPr>
        <w:tc>
          <w:tcPr>
            <w:tcW w:w="2136" w:type="dxa"/>
            <w:shd w:val="clear" w:color="auto" w:fill="auto"/>
          </w:tcPr>
          <w:p w:rsidR="00D66945" w:rsidRPr="007828C4" w:rsidRDefault="00D66945" w:rsidP="00A33453">
            <w:pPr>
              <w:rPr>
                <w:rFonts w:eastAsia="Arial Unicode MS" w:cs="Arial"/>
                <w:b/>
                <w:sz w:val="22"/>
                <w:szCs w:val="22"/>
              </w:rPr>
            </w:pPr>
            <w:r w:rsidRPr="007828C4">
              <w:rPr>
                <w:rFonts w:eastAsia="Arial Unicode MS" w:cs="Arial"/>
                <w:b/>
                <w:sz w:val="22"/>
                <w:szCs w:val="22"/>
              </w:rPr>
              <w:t>Pension</w:t>
            </w:r>
          </w:p>
        </w:tc>
        <w:tc>
          <w:tcPr>
            <w:tcW w:w="2284"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Each year worked is worth 1/80 x final pensionable salary</w:t>
            </w:r>
          </w:p>
        </w:tc>
        <w:tc>
          <w:tcPr>
            <w:tcW w:w="2611"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Each year worked is worth 1/60 x final pensionable salary</w:t>
            </w:r>
          </w:p>
        </w:tc>
        <w:tc>
          <w:tcPr>
            <w:tcW w:w="2562"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Each year worked is worth 1/49</w:t>
            </w:r>
            <w:r w:rsidRPr="007828C4">
              <w:rPr>
                <w:rFonts w:eastAsia="Arial Unicode MS" w:cs="Arial"/>
                <w:sz w:val="20"/>
                <w:szCs w:val="22"/>
                <w:vertAlign w:val="superscript"/>
              </w:rPr>
              <w:t>th</w:t>
            </w:r>
            <w:r w:rsidRPr="007828C4">
              <w:rPr>
                <w:rFonts w:eastAsia="Arial Unicode MS" w:cs="Arial"/>
                <w:sz w:val="20"/>
                <w:szCs w:val="22"/>
              </w:rPr>
              <w:t xml:space="preserve"> x the pensionable pay  for that year (or 1/98th of pensionable pay if member opts for the 50/50 section of the scheme)</w:t>
            </w:r>
          </w:p>
        </w:tc>
      </w:tr>
      <w:tr w:rsidR="00D66945" w:rsidRPr="007828C4" w:rsidTr="00A33453">
        <w:trPr>
          <w:trHeight w:val="1972"/>
        </w:trPr>
        <w:tc>
          <w:tcPr>
            <w:tcW w:w="2136" w:type="dxa"/>
            <w:shd w:val="clear" w:color="auto" w:fill="auto"/>
          </w:tcPr>
          <w:p w:rsidR="00D66945" w:rsidRPr="007828C4" w:rsidRDefault="00D66945" w:rsidP="00A33453">
            <w:pPr>
              <w:rPr>
                <w:rFonts w:eastAsia="Arial Unicode MS" w:cs="Arial"/>
                <w:b/>
                <w:sz w:val="22"/>
                <w:szCs w:val="22"/>
              </w:rPr>
            </w:pPr>
            <w:r w:rsidRPr="007828C4">
              <w:rPr>
                <w:rFonts w:eastAsia="Arial Unicode MS" w:cs="Arial"/>
                <w:b/>
                <w:sz w:val="22"/>
                <w:szCs w:val="22"/>
              </w:rPr>
              <w:t>Lump sum</w:t>
            </w:r>
          </w:p>
        </w:tc>
        <w:tc>
          <w:tcPr>
            <w:tcW w:w="2284"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Automatic lump sum of 3 x salary.</w:t>
            </w:r>
          </w:p>
          <w:p w:rsidR="00D66945" w:rsidRPr="007828C4" w:rsidRDefault="00D66945" w:rsidP="00A33453">
            <w:pPr>
              <w:rPr>
                <w:rFonts w:eastAsia="Arial Unicode MS" w:cs="Arial"/>
                <w:sz w:val="20"/>
                <w:szCs w:val="22"/>
              </w:rPr>
            </w:pPr>
            <w:r w:rsidRPr="007828C4">
              <w:rPr>
                <w:rFonts w:eastAsia="Arial Unicode MS" w:cs="Arial"/>
                <w:sz w:val="20"/>
                <w:szCs w:val="22"/>
              </w:rPr>
              <w:t>In addition, part of the annual pension can be exchanged for a one-off tax free cash payment.  A lump sum of £12 is paid for each £1 of pension given up</w:t>
            </w:r>
          </w:p>
        </w:tc>
        <w:tc>
          <w:tcPr>
            <w:tcW w:w="2611"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No automatic lump sum.</w:t>
            </w:r>
          </w:p>
          <w:p w:rsidR="00D66945" w:rsidRPr="007828C4" w:rsidRDefault="00D66945" w:rsidP="00A33453">
            <w:pPr>
              <w:rPr>
                <w:rFonts w:eastAsia="Arial Unicode MS" w:cs="Arial"/>
                <w:sz w:val="20"/>
                <w:szCs w:val="22"/>
              </w:rPr>
            </w:pPr>
            <w:r w:rsidRPr="007828C4">
              <w:rPr>
                <w:rFonts w:eastAsia="Arial Unicode MS" w:cs="Arial"/>
                <w:sz w:val="20"/>
                <w:szCs w:val="22"/>
              </w:rPr>
              <w:t>Part of the annual pension can be exchanged for a one-off tax free cash payment.  A lump sum of £12 is paid for each £1 of pension given up</w:t>
            </w:r>
          </w:p>
        </w:tc>
        <w:tc>
          <w:tcPr>
            <w:tcW w:w="2562"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No automatic lump sum.</w:t>
            </w:r>
          </w:p>
          <w:p w:rsidR="00D66945" w:rsidRPr="007828C4" w:rsidRDefault="00D66945" w:rsidP="00A33453">
            <w:pPr>
              <w:rPr>
                <w:rFonts w:eastAsia="Arial Unicode MS" w:cs="Arial"/>
                <w:sz w:val="20"/>
                <w:szCs w:val="22"/>
              </w:rPr>
            </w:pPr>
            <w:r w:rsidRPr="007828C4">
              <w:rPr>
                <w:rFonts w:eastAsia="Arial Unicode MS" w:cs="Arial"/>
                <w:sz w:val="20"/>
                <w:szCs w:val="22"/>
              </w:rPr>
              <w:t>Part of the annual pension can be exchanged for a one-off tax free cash payment.  A lump sum of £12 is paid for each £1 of pension given up</w:t>
            </w:r>
          </w:p>
        </w:tc>
      </w:tr>
    </w:tbl>
    <w:p w:rsidR="00D66945" w:rsidRPr="007828C4" w:rsidRDefault="00D66945" w:rsidP="00D66945">
      <w:pPr>
        <w:ind w:left="720"/>
        <w:rPr>
          <w:rFonts w:eastAsia="Arial Unicode MS" w:cs="Arial"/>
          <w:sz w:val="22"/>
          <w:szCs w:val="22"/>
        </w:rPr>
      </w:pPr>
    </w:p>
    <w:p w:rsidR="00D66945" w:rsidRPr="007828C4" w:rsidRDefault="00D66945" w:rsidP="00D66945">
      <w:pPr>
        <w:numPr>
          <w:ilvl w:val="0"/>
          <w:numId w:val="5"/>
        </w:numPr>
        <w:tabs>
          <w:tab w:val="num" w:pos="567"/>
        </w:tabs>
        <w:spacing w:after="0"/>
        <w:ind w:hanging="862"/>
        <w:contextualSpacing/>
        <w:rPr>
          <w:rFonts w:eastAsia="Arial Unicode MS" w:cs="Arial"/>
          <w:b/>
          <w:sz w:val="32"/>
          <w:szCs w:val="22"/>
        </w:rPr>
      </w:pPr>
      <w:r w:rsidRPr="007828C4">
        <w:rPr>
          <w:rFonts w:eastAsia="Arial Unicode MS" w:cs="Arial"/>
          <w:b/>
          <w:sz w:val="32"/>
          <w:szCs w:val="22"/>
        </w:rPr>
        <w:t xml:space="preserve">BASIS OF PREPARATION </w:t>
      </w:r>
    </w:p>
    <w:p w:rsidR="00D66945" w:rsidRPr="007828C4" w:rsidRDefault="00D66945" w:rsidP="00D66945">
      <w:pPr>
        <w:tabs>
          <w:tab w:val="left" w:pos="567"/>
        </w:tabs>
        <w:rPr>
          <w:rFonts w:eastAsia="Arial Unicode MS" w:cs="Arial"/>
          <w:b/>
          <w:sz w:val="22"/>
          <w:szCs w:val="22"/>
        </w:rPr>
      </w:pPr>
    </w:p>
    <w:p w:rsidR="00D66945" w:rsidRPr="007828C4" w:rsidRDefault="00D66945" w:rsidP="00D66945">
      <w:pPr>
        <w:tabs>
          <w:tab w:val="left" w:pos="1080"/>
        </w:tabs>
        <w:rPr>
          <w:rFonts w:eastAsia="Arial Unicode MS" w:cs="Arial"/>
          <w:sz w:val="22"/>
          <w:szCs w:val="22"/>
        </w:rPr>
      </w:pPr>
      <w:r w:rsidRPr="007828C4">
        <w:rPr>
          <w:rFonts w:eastAsia="Arial Unicode MS" w:cs="Arial"/>
          <w:sz w:val="22"/>
          <w:szCs w:val="22"/>
        </w:rPr>
        <w:t>The Statement of Accounts summarises the Fund's transactions for the financial year and its position as at 31 March 201</w:t>
      </w:r>
      <w:r>
        <w:rPr>
          <w:rFonts w:eastAsia="Arial Unicode MS" w:cs="Arial"/>
          <w:sz w:val="22"/>
          <w:szCs w:val="22"/>
        </w:rPr>
        <w:t>8</w:t>
      </w:r>
      <w:r w:rsidRPr="007828C4">
        <w:rPr>
          <w:rFonts w:eastAsia="Arial Unicode MS" w:cs="Arial"/>
          <w:sz w:val="22"/>
          <w:szCs w:val="22"/>
        </w:rPr>
        <w:t xml:space="preserve">.  The accounts have been prepared in accordance with the </w:t>
      </w:r>
      <w:r w:rsidRPr="007828C4">
        <w:rPr>
          <w:rFonts w:eastAsia="Arial Unicode MS" w:cs="Arial"/>
          <w:i/>
          <w:sz w:val="22"/>
          <w:szCs w:val="22"/>
        </w:rPr>
        <w:t xml:space="preserve">Code of Practice on Local Authority Accounting in United Kingdom </w:t>
      </w:r>
      <w:r>
        <w:rPr>
          <w:rFonts w:eastAsia="Arial Unicode MS" w:cs="Arial"/>
          <w:i/>
          <w:sz w:val="22"/>
          <w:szCs w:val="22"/>
        </w:rPr>
        <w:t>2017/18</w:t>
      </w:r>
      <w:r w:rsidRPr="007828C4">
        <w:rPr>
          <w:rFonts w:eastAsia="Arial Unicode MS" w:cs="Arial"/>
          <w:sz w:val="22"/>
          <w:szCs w:val="22"/>
        </w:rPr>
        <w:t xml:space="preserve"> which is based on International Financial Reporting Standards (IFRS), as amended for the UK public sector.</w:t>
      </w:r>
    </w:p>
    <w:p w:rsidR="00D66945" w:rsidRDefault="00D66945" w:rsidP="00D66945">
      <w:pPr>
        <w:rPr>
          <w:rFonts w:eastAsia="Arial Unicode MS" w:cs="Arial"/>
          <w:sz w:val="22"/>
          <w:szCs w:val="22"/>
        </w:rPr>
      </w:pPr>
      <w:r w:rsidRPr="007828C4">
        <w:rPr>
          <w:rFonts w:eastAsia="Arial Unicode MS" w:cs="Arial"/>
          <w:sz w:val="22"/>
          <w:szCs w:val="22"/>
        </w:rPr>
        <w:t>The accounts summarise the transactions of the Fund and report the net assets available to pay pension benefits. They do not take account of obligations to pay pensions and benefits which fall due after the end of the financial year. The actuarial present value of promised retirement benefits, valued on an International Accounting Standard (IAS) 19 basis, is disclosed in note 2</w:t>
      </w:r>
      <w:r>
        <w:rPr>
          <w:rFonts w:eastAsia="Arial Unicode MS" w:cs="Arial"/>
          <w:sz w:val="22"/>
          <w:szCs w:val="22"/>
        </w:rPr>
        <w:t>5</w:t>
      </w:r>
      <w:r w:rsidRPr="007828C4">
        <w:rPr>
          <w:rFonts w:eastAsia="Arial Unicode MS" w:cs="Arial"/>
          <w:sz w:val="22"/>
          <w:szCs w:val="22"/>
        </w:rPr>
        <w:t xml:space="preserve"> to these accounts.</w:t>
      </w:r>
    </w:p>
    <w:p w:rsidR="00D66945" w:rsidRPr="007828C4" w:rsidRDefault="00D66945" w:rsidP="00D66945">
      <w:pPr>
        <w:rPr>
          <w:rFonts w:eastAsia="Arial Unicode MS" w:cs="Arial"/>
          <w:sz w:val="22"/>
          <w:szCs w:val="22"/>
        </w:rPr>
      </w:pPr>
    </w:p>
    <w:p w:rsidR="00D66945" w:rsidRPr="007828C4" w:rsidRDefault="00D66945" w:rsidP="00D66945">
      <w:pPr>
        <w:tabs>
          <w:tab w:val="left" w:pos="1080"/>
        </w:tabs>
        <w:rPr>
          <w:rFonts w:eastAsia="Arial Unicode MS" w:cs="Arial"/>
          <w:b/>
          <w:sz w:val="32"/>
          <w:szCs w:val="32"/>
        </w:rPr>
      </w:pPr>
      <w:r w:rsidRPr="007828C4">
        <w:rPr>
          <w:rFonts w:eastAsia="Arial Unicode MS" w:cs="Arial"/>
          <w:b/>
          <w:sz w:val="32"/>
          <w:szCs w:val="32"/>
        </w:rPr>
        <w:t>2.1  Accounting standards issued but not yet adopted</w:t>
      </w:r>
    </w:p>
    <w:p w:rsidR="00D66945" w:rsidRPr="007828C4" w:rsidRDefault="00D66945" w:rsidP="00D66945">
      <w:pPr>
        <w:rPr>
          <w:rFonts w:cs="Arial"/>
          <w:sz w:val="22"/>
          <w:szCs w:val="22"/>
        </w:rPr>
      </w:pPr>
    </w:p>
    <w:p w:rsidR="00D66945" w:rsidRDefault="00D66945" w:rsidP="00D66945">
      <w:pPr>
        <w:rPr>
          <w:rFonts w:eastAsia="Arial Unicode MS" w:cs="Arial"/>
          <w:sz w:val="22"/>
          <w:szCs w:val="22"/>
          <w:lang w:eastAsia="en-GB"/>
        </w:rPr>
      </w:pPr>
      <w:r w:rsidRPr="007828C4">
        <w:rPr>
          <w:rFonts w:eastAsia="Arial Unicode MS" w:cs="Arial"/>
          <w:sz w:val="22"/>
          <w:szCs w:val="22"/>
          <w:lang w:eastAsia="en-GB"/>
        </w:rPr>
        <w:t xml:space="preserve">Under the </w:t>
      </w:r>
      <w:r w:rsidRPr="007828C4">
        <w:rPr>
          <w:rFonts w:eastAsia="Arial Unicode MS" w:cs="Arial"/>
          <w:i/>
          <w:iCs/>
          <w:sz w:val="22"/>
          <w:szCs w:val="22"/>
          <w:lang w:eastAsia="en-GB"/>
        </w:rPr>
        <w:t xml:space="preserve">Code of Practice on Local Authority Accounting in the United Kingdom </w:t>
      </w:r>
      <w:r>
        <w:rPr>
          <w:rFonts w:eastAsia="Arial Unicode MS" w:cs="Arial"/>
          <w:i/>
          <w:iCs/>
          <w:sz w:val="22"/>
          <w:szCs w:val="22"/>
          <w:lang w:eastAsia="en-GB"/>
        </w:rPr>
        <w:t>2017/18</w:t>
      </w:r>
      <w:r w:rsidRPr="007828C4">
        <w:rPr>
          <w:rFonts w:eastAsia="Arial Unicode MS" w:cs="Arial"/>
          <w:i/>
          <w:iCs/>
          <w:sz w:val="22"/>
          <w:szCs w:val="22"/>
          <w:lang w:eastAsia="en-GB"/>
        </w:rPr>
        <w:t xml:space="preserve">, </w:t>
      </w:r>
      <w:r w:rsidRPr="007828C4">
        <w:rPr>
          <w:rFonts w:eastAsia="Arial Unicode MS" w:cs="Arial"/>
          <w:sz w:val="22"/>
          <w:szCs w:val="22"/>
          <w:lang w:eastAsia="en-GB"/>
        </w:rPr>
        <w:t>the Fund is required to disclose information setting out the impact of an accounting change required by a new accounting standard that has been issued on or before 1 January 201</w:t>
      </w:r>
      <w:r>
        <w:rPr>
          <w:rFonts w:eastAsia="Arial Unicode MS" w:cs="Arial"/>
          <w:sz w:val="22"/>
          <w:szCs w:val="22"/>
          <w:lang w:eastAsia="en-GB"/>
        </w:rPr>
        <w:t>8</w:t>
      </w:r>
      <w:r w:rsidRPr="007828C4">
        <w:rPr>
          <w:rFonts w:eastAsia="Arial Unicode MS" w:cs="Arial"/>
          <w:sz w:val="22"/>
          <w:szCs w:val="22"/>
          <w:lang w:eastAsia="en-GB"/>
        </w:rPr>
        <w:t xml:space="preserve"> but not yet adopted by the Code.</w:t>
      </w:r>
    </w:p>
    <w:p w:rsidR="00D66945" w:rsidRDefault="00D66945" w:rsidP="00D66945">
      <w:pPr>
        <w:rPr>
          <w:rFonts w:eastAsia="Arial Unicode MS" w:cs="Arial"/>
          <w:sz w:val="22"/>
          <w:szCs w:val="22"/>
          <w:lang w:eastAsia="en-GB"/>
        </w:rPr>
      </w:pPr>
      <w:r>
        <w:rPr>
          <w:rFonts w:eastAsia="Arial Unicode MS" w:cs="Arial"/>
          <w:sz w:val="22"/>
          <w:szCs w:val="22"/>
          <w:lang w:eastAsia="en-GB"/>
        </w:rPr>
        <w:t xml:space="preserve">    </w:t>
      </w:r>
    </w:p>
    <w:p w:rsidR="00C01A5D" w:rsidRPr="007828C4" w:rsidRDefault="00C01A5D" w:rsidP="00D66945">
      <w:pPr>
        <w:rPr>
          <w:rFonts w:eastAsia="Arial Unicode MS" w:cs="Arial"/>
          <w:sz w:val="22"/>
          <w:szCs w:val="22"/>
          <w:lang w:eastAsia="en-GB"/>
        </w:rPr>
      </w:pPr>
    </w:p>
    <w:p w:rsidR="00D66945" w:rsidRDefault="00D66945" w:rsidP="00D66945">
      <w:pPr>
        <w:rPr>
          <w:rFonts w:asciiTheme="minorHAnsi" w:eastAsia="Arial Unicode MS" w:hAnsiTheme="minorHAnsi" w:cs="Arial Unicode MS"/>
        </w:rPr>
      </w:pPr>
      <w:r>
        <w:rPr>
          <w:rFonts w:eastAsia="Arial Unicode MS" w:cs="Arial"/>
          <w:sz w:val="22"/>
          <w:szCs w:val="22"/>
          <w:lang w:eastAsia="en-GB"/>
        </w:rPr>
        <w:t>The 2018/19 Code will introduce the following amendments in respect of:</w:t>
      </w:r>
      <w:r w:rsidRPr="00037A9C">
        <w:rPr>
          <w:rFonts w:asciiTheme="minorHAnsi" w:eastAsia="Arial Unicode MS" w:hAnsiTheme="minorHAnsi" w:cs="Arial Unicode MS"/>
        </w:rPr>
        <w:t xml:space="preserve"> </w:t>
      </w:r>
    </w:p>
    <w:p w:rsidR="00D66945" w:rsidRDefault="00D66945" w:rsidP="00D66945">
      <w:pPr>
        <w:rPr>
          <w:rFonts w:eastAsia="Arial Unicode MS" w:cs="Arial"/>
          <w:sz w:val="22"/>
          <w:szCs w:val="22"/>
          <w:u w:val="single"/>
        </w:rPr>
      </w:pPr>
    </w:p>
    <w:p w:rsidR="00D66945" w:rsidRPr="00462C2E" w:rsidRDefault="00D66945" w:rsidP="00D66945">
      <w:pPr>
        <w:rPr>
          <w:rFonts w:eastAsia="Arial Unicode MS" w:cs="Arial"/>
          <w:b/>
          <w:color w:val="2F5496" w:themeColor="accent5" w:themeShade="BF"/>
          <w:sz w:val="22"/>
          <w:szCs w:val="22"/>
          <w:u w:val="single"/>
        </w:rPr>
      </w:pPr>
      <w:r w:rsidRPr="00CE44BE">
        <w:rPr>
          <w:rFonts w:eastAsia="Arial Unicode MS" w:cs="Arial"/>
          <w:sz w:val="22"/>
          <w:szCs w:val="22"/>
          <w:u w:val="single"/>
        </w:rPr>
        <w:t xml:space="preserve">IFRS 9 Financial Instruments </w:t>
      </w:r>
    </w:p>
    <w:p w:rsidR="00D66945" w:rsidRDefault="00D66945" w:rsidP="00D66945">
      <w:pPr>
        <w:rPr>
          <w:rFonts w:eastAsia="Arial Unicode MS" w:cs="Arial"/>
          <w:sz w:val="22"/>
          <w:szCs w:val="22"/>
        </w:rPr>
      </w:pPr>
      <w:r w:rsidRPr="00037A9C">
        <w:rPr>
          <w:rFonts w:eastAsia="Arial Unicode MS" w:cs="Arial"/>
          <w:sz w:val="22"/>
          <w:szCs w:val="22"/>
        </w:rPr>
        <w:t xml:space="preserve">IFRS 9 replaces </w:t>
      </w:r>
      <w:r w:rsidRPr="00037A9C">
        <w:rPr>
          <w:rFonts w:eastAsia="Arial Unicode MS" w:cs="Arial"/>
          <w:i/>
          <w:sz w:val="22"/>
          <w:szCs w:val="22"/>
        </w:rPr>
        <w:t>International Accounting Standard (IAS) 39 - Financial instruments: recognition and measurement</w:t>
      </w:r>
      <w:r w:rsidRPr="00037A9C">
        <w:rPr>
          <w:rFonts w:eastAsia="Arial Unicode MS" w:cs="Arial"/>
          <w:sz w:val="22"/>
          <w:szCs w:val="22"/>
        </w:rPr>
        <w:t>.  It includes changes to the classification of financial assets and a forward looking 'expected loss' model for impairment rather than the 'incurred loss' model under IAS 39.</w:t>
      </w:r>
    </w:p>
    <w:p w:rsidR="00D66945" w:rsidRDefault="00D66945" w:rsidP="00D66945">
      <w:pPr>
        <w:rPr>
          <w:rFonts w:eastAsia="Arial Unicode MS" w:cs="Arial"/>
          <w:sz w:val="22"/>
          <w:szCs w:val="22"/>
        </w:rPr>
      </w:pPr>
      <w:r>
        <w:rPr>
          <w:rFonts w:eastAsia="Arial Unicode MS" w:cs="Arial"/>
          <w:sz w:val="22"/>
          <w:szCs w:val="22"/>
        </w:rPr>
        <w:t xml:space="preserve">The change results in more investments being classified as 'fair value through profit and loss' with any gains or losses impacting on the fund account rather than being held until the investment was sold.  </w:t>
      </w:r>
    </w:p>
    <w:p w:rsidR="00D66945" w:rsidRPr="00037A9C" w:rsidRDefault="00D66945" w:rsidP="00D66945">
      <w:pPr>
        <w:rPr>
          <w:rFonts w:eastAsia="Arial Unicode MS" w:cs="Arial"/>
          <w:sz w:val="22"/>
          <w:szCs w:val="22"/>
        </w:rPr>
      </w:pPr>
      <w:r>
        <w:rPr>
          <w:rFonts w:eastAsia="Arial Unicode MS" w:cs="Arial"/>
          <w:sz w:val="22"/>
          <w:szCs w:val="22"/>
        </w:rPr>
        <w:t>No significant impact is expected on the accounts of the Fund as all financial assets, other than cash and debtors, are already classified as fair value through profit and loss with movements in market value recognised in the fund account during the year.</w:t>
      </w:r>
    </w:p>
    <w:p w:rsidR="00D66945" w:rsidRPr="00CB3016" w:rsidRDefault="00D66945" w:rsidP="00D66945">
      <w:pPr>
        <w:rPr>
          <w:rFonts w:asciiTheme="minorHAnsi" w:eastAsia="Arial Unicode MS" w:hAnsiTheme="minorHAnsi" w:cs="Arial Unicode MS"/>
        </w:rPr>
      </w:pPr>
    </w:p>
    <w:p w:rsidR="00D66945" w:rsidRPr="007828C4" w:rsidRDefault="00D66945" w:rsidP="00D66945">
      <w:pPr>
        <w:ind w:left="567"/>
        <w:rPr>
          <w:rFonts w:eastAsia="Arial Unicode MS" w:cs="Arial"/>
          <w:sz w:val="22"/>
          <w:szCs w:val="22"/>
        </w:rPr>
      </w:pPr>
    </w:p>
    <w:p w:rsidR="00D66945" w:rsidRPr="007828C4" w:rsidRDefault="00D66945" w:rsidP="00D66945">
      <w:pPr>
        <w:numPr>
          <w:ilvl w:val="0"/>
          <w:numId w:val="5"/>
        </w:numPr>
        <w:tabs>
          <w:tab w:val="num" w:pos="567"/>
          <w:tab w:val="num" w:pos="720"/>
        </w:tabs>
        <w:spacing w:after="0"/>
        <w:ind w:left="567" w:hanging="567"/>
        <w:rPr>
          <w:rFonts w:eastAsia="Arial Unicode MS" w:cs="Arial"/>
          <w:b/>
          <w:sz w:val="32"/>
          <w:szCs w:val="22"/>
        </w:rPr>
      </w:pPr>
      <w:r w:rsidRPr="007828C4">
        <w:rPr>
          <w:rFonts w:eastAsia="Arial Unicode MS" w:cs="Arial"/>
          <w:b/>
          <w:sz w:val="32"/>
          <w:szCs w:val="22"/>
        </w:rPr>
        <w:t>ACCOUNTING POLICIES</w:t>
      </w:r>
    </w:p>
    <w:p w:rsidR="00D66945" w:rsidRPr="007828C4" w:rsidRDefault="00D66945" w:rsidP="00D66945">
      <w:pPr>
        <w:ind w:left="567"/>
        <w:rPr>
          <w:rFonts w:eastAsia="Arial Unicode MS" w:cs="Arial"/>
          <w:b/>
          <w:szCs w:val="22"/>
        </w:rPr>
      </w:pPr>
    </w:p>
    <w:p w:rsidR="00D66945" w:rsidRPr="007828C4" w:rsidRDefault="00D66945" w:rsidP="00D66945">
      <w:pPr>
        <w:numPr>
          <w:ilvl w:val="1"/>
          <w:numId w:val="9"/>
        </w:numPr>
        <w:tabs>
          <w:tab w:val="left" w:pos="567"/>
        </w:tabs>
        <w:spacing w:after="0"/>
        <w:ind w:left="567" w:hanging="567"/>
        <w:contextualSpacing/>
        <w:rPr>
          <w:rFonts w:eastAsia="Arial Unicode MS" w:cs="Arial"/>
          <w:b/>
          <w:sz w:val="32"/>
          <w:szCs w:val="22"/>
        </w:rPr>
      </w:pPr>
      <w:r w:rsidRPr="007828C4">
        <w:rPr>
          <w:rFonts w:eastAsia="Arial Unicode MS" w:cs="Arial"/>
          <w:b/>
          <w:sz w:val="32"/>
          <w:szCs w:val="22"/>
        </w:rPr>
        <w:t>Fund Account - revenue recognition</w:t>
      </w:r>
    </w:p>
    <w:p w:rsidR="00D66945" w:rsidRPr="007828C4" w:rsidRDefault="00D66945" w:rsidP="00D66945">
      <w:pPr>
        <w:rPr>
          <w:rFonts w:eastAsia="Arial Unicode MS" w:cs="Arial"/>
          <w:b/>
          <w:szCs w:val="22"/>
        </w:rPr>
      </w:pPr>
    </w:p>
    <w:p w:rsidR="00D66945" w:rsidRPr="007828C4" w:rsidRDefault="00D66945" w:rsidP="00D66945">
      <w:pPr>
        <w:tabs>
          <w:tab w:val="num" w:pos="851"/>
        </w:tabs>
        <w:rPr>
          <w:rFonts w:eastAsia="Arial Unicode MS" w:cs="Arial"/>
          <w:b/>
          <w:sz w:val="32"/>
          <w:szCs w:val="22"/>
        </w:rPr>
      </w:pPr>
      <w:r w:rsidRPr="007828C4">
        <w:rPr>
          <w:rFonts w:eastAsia="Arial Unicode MS" w:cs="Arial"/>
          <w:b/>
          <w:sz w:val="32"/>
          <w:szCs w:val="22"/>
        </w:rPr>
        <w:t>3.1.1 Contribution income</w:t>
      </w:r>
    </w:p>
    <w:p w:rsidR="00D66945" w:rsidRPr="007828C4" w:rsidRDefault="00D66945" w:rsidP="00D66945">
      <w:pPr>
        <w:tabs>
          <w:tab w:val="left" w:pos="851"/>
        </w:tabs>
        <w:rPr>
          <w:rFonts w:eastAsia="Arial Unicode MS" w:cs="Arial"/>
          <w:sz w:val="22"/>
          <w:szCs w:val="22"/>
        </w:rPr>
      </w:pPr>
      <w:r w:rsidRPr="007828C4">
        <w:rPr>
          <w:rFonts w:eastAsia="Arial Unicode MS" w:cs="Arial"/>
          <w:sz w:val="22"/>
          <w:szCs w:val="22"/>
        </w:rPr>
        <w:t xml:space="preserve">Normal contributions, both from the members and from the employer, are accounted for on an accruals basis. Member contributions are </w:t>
      </w:r>
      <w:r>
        <w:rPr>
          <w:rFonts w:eastAsia="Arial Unicode MS" w:cs="Arial"/>
          <w:sz w:val="22"/>
          <w:szCs w:val="22"/>
        </w:rPr>
        <w:t xml:space="preserve">made </w:t>
      </w:r>
      <w:r w:rsidRPr="007828C4">
        <w:rPr>
          <w:rFonts w:eastAsia="Arial Unicode MS" w:cs="Arial"/>
          <w:sz w:val="22"/>
          <w:szCs w:val="22"/>
        </w:rPr>
        <w:t xml:space="preserve">in accordance with </w:t>
      </w:r>
      <w:r w:rsidRPr="005F4A2D">
        <w:rPr>
          <w:rFonts w:eastAsia="Arial Unicode MS" w:cs="Arial"/>
          <w:sz w:val="22"/>
          <w:szCs w:val="22"/>
        </w:rPr>
        <w:t>the LGPS (Amendment) Regulations 2018</w:t>
      </w:r>
      <w:r w:rsidRPr="007828C4">
        <w:rPr>
          <w:rFonts w:eastAsia="Arial Unicode MS" w:cs="Arial"/>
          <w:sz w:val="22"/>
          <w:szCs w:val="22"/>
        </w:rPr>
        <w:t xml:space="preserve"> and employer contributions are at the percentage rate recommended by the scheme actuary, in the payroll period to which they relate.</w:t>
      </w:r>
    </w:p>
    <w:p w:rsidR="00D66945" w:rsidRPr="007828C4" w:rsidRDefault="00D66945" w:rsidP="00D66945">
      <w:pPr>
        <w:tabs>
          <w:tab w:val="left" w:pos="851"/>
        </w:tabs>
        <w:rPr>
          <w:rFonts w:eastAsia="Arial Unicode MS" w:cs="Arial"/>
          <w:sz w:val="22"/>
          <w:szCs w:val="22"/>
        </w:rPr>
      </w:pPr>
      <w:r w:rsidRPr="007828C4">
        <w:rPr>
          <w:rFonts w:eastAsia="Arial Unicode MS" w:cs="Arial"/>
          <w:sz w:val="22"/>
          <w:szCs w:val="22"/>
        </w:rPr>
        <w:t>Employer deficit funding contributions are accounted for on the due dates on which they are payable under the schedule of contributions set by the scheme actuary.  Any receipts in advance are accounted for as accrued income.</w:t>
      </w:r>
    </w:p>
    <w:p w:rsidR="00D66945" w:rsidRPr="007828C4" w:rsidRDefault="00D66945" w:rsidP="00D66945">
      <w:pPr>
        <w:rPr>
          <w:rFonts w:eastAsia="Arial Unicode MS" w:cs="Arial"/>
          <w:b/>
          <w:sz w:val="22"/>
          <w:szCs w:val="22"/>
        </w:rPr>
      </w:pPr>
      <w:r w:rsidRPr="007828C4">
        <w:rPr>
          <w:rFonts w:eastAsia="Arial Unicode MS" w:cs="Arial"/>
          <w:sz w:val="22"/>
          <w:szCs w:val="22"/>
        </w:rPr>
        <w:t>Employers' augmentation contributions and pension strain contributions are accounted for</w:t>
      </w:r>
      <w:r w:rsidRPr="007828C4">
        <w:rPr>
          <w:rFonts w:eastAsia="Arial Unicode MS" w:cs="Arial"/>
          <w:b/>
          <w:sz w:val="22"/>
          <w:szCs w:val="22"/>
        </w:rPr>
        <w:t xml:space="preserve"> </w:t>
      </w:r>
      <w:r w:rsidRPr="007828C4">
        <w:rPr>
          <w:rFonts w:eastAsia="Arial Unicode MS" w:cs="Arial"/>
          <w:sz w:val="22"/>
          <w:szCs w:val="22"/>
        </w:rPr>
        <w:t>in</w:t>
      </w:r>
      <w:r w:rsidRPr="007828C4">
        <w:rPr>
          <w:rFonts w:eastAsia="Arial Unicode MS" w:cs="Arial"/>
          <w:b/>
          <w:sz w:val="22"/>
          <w:szCs w:val="22"/>
        </w:rPr>
        <w:t xml:space="preserve"> </w:t>
      </w:r>
      <w:r w:rsidRPr="007828C4">
        <w:rPr>
          <w:rFonts w:eastAsia="Arial Unicode MS" w:cs="Arial"/>
          <w:sz w:val="22"/>
          <w:szCs w:val="22"/>
        </w:rPr>
        <w:t>the period in which the liability arises.  Any amount due in the year but unpaid will be classed as a current financial asset.  Amounts not due until future years are classed as long term financial assets.</w:t>
      </w:r>
      <w:r w:rsidRPr="007828C4">
        <w:rPr>
          <w:rFonts w:eastAsia="Arial Unicode MS" w:cs="Arial"/>
          <w:b/>
          <w:sz w:val="22"/>
          <w:szCs w:val="22"/>
        </w:rPr>
        <w:t xml:space="preserve"> </w:t>
      </w:r>
    </w:p>
    <w:p w:rsidR="00D66945" w:rsidRPr="007828C4" w:rsidRDefault="00D66945" w:rsidP="00D66945">
      <w:pPr>
        <w:ind w:left="851"/>
        <w:rPr>
          <w:rFonts w:eastAsia="Arial Unicode MS" w:cs="Arial"/>
          <w:b/>
          <w:sz w:val="22"/>
          <w:szCs w:val="22"/>
        </w:rPr>
      </w:pPr>
    </w:p>
    <w:p w:rsidR="00D66945" w:rsidRPr="007828C4" w:rsidRDefault="00D66945" w:rsidP="00D66945">
      <w:pPr>
        <w:rPr>
          <w:rFonts w:eastAsia="Arial Unicode MS" w:cs="Arial"/>
          <w:b/>
          <w:sz w:val="22"/>
          <w:szCs w:val="22"/>
        </w:rPr>
      </w:pPr>
      <w:r w:rsidRPr="007828C4">
        <w:rPr>
          <w:rFonts w:eastAsia="Arial Unicode MS" w:cs="Arial"/>
          <w:b/>
          <w:sz w:val="32"/>
          <w:szCs w:val="22"/>
        </w:rPr>
        <w:t>3.1.2 Transfers to and from other schemes</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Transfer values represent amounts received and paid during the period for individual members who have either joined or left the Fund during the financial year and are calculated in accordance with Local Government Pension Scheme</w:t>
      </w:r>
      <w:r>
        <w:rPr>
          <w:rFonts w:eastAsia="Arial Unicode MS" w:cs="Arial"/>
          <w:sz w:val="22"/>
          <w:szCs w:val="22"/>
        </w:rPr>
        <w:t xml:space="preserve"> (Amendment)</w:t>
      </w:r>
      <w:r w:rsidRPr="007828C4">
        <w:rPr>
          <w:rFonts w:eastAsia="Arial Unicode MS" w:cs="Arial"/>
          <w:sz w:val="22"/>
          <w:szCs w:val="22"/>
        </w:rPr>
        <w:t xml:space="preserve"> Regulations 201</w:t>
      </w:r>
      <w:r>
        <w:rPr>
          <w:rFonts w:eastAsia="Arial Unicode MS" w:cs="Arial"/>
          <w:sz w:val="22"/>
          <w:szCs w:val="22"/>
        </w:rPr>
        <w:t>8</w:t>
      </w:r>
      <w:r w:rsidRPr="007828C4">
        <w:rPr>
          <w:rFonts w:eastAsia="Arial Unicode MS" w:cs="Arial"/>
          <w:sz w:val="22"/>
          <w:szCs w:val="22"/>
        </w:rPr>
        <w:t>.</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Individual transfers in/out are accounted for when received/paid, which is when the member liability is accepted or discharged.</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Transfers in from members wishing to use the proceeds of their additional voluntary contributions to purchase scheme benefits are accounted for on a receipts basis and are included in transfers in.</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Bulk (group) transfers are accounted for on an accruals basis in accordance with the terms of the transfer agreement.</w:t>
      </w:r>
    </w:p>
    <w:p w:rsidR="00D66945" w:rsidRDefault="00D66945" w:rsidP="00D66945">
      <w:pPr>
        <w:tabs>
          <w:tab w:val="left" w:pos="851"/>
        </w:tabs>
        <w:ind w:left="851"/>
        <w:rPr>
          <w:rFonts w:eastAsia="Arial Unicode MS" w:cs="Arial"/>
          <w:sz w:val="22"/>
          <w:szCs w:val="22"/>
        </w:rPr>
      </w:pPr>
    </w:p>
    <w:p w:rsidR="00C01A5D" w:rsidRDefault="00C01A5D" w:rsidP="00D66945">
      <w:pPr>
        <w:tabs>
          <w:tab w:val="left" w:pos="851"/>
        </w:tabs>
        <w:ind w:left="851"/>
        <w:rPr>
          <w:rFonts w:eastAsia="Arial Unicode MS" w:cs="Arial"/>
          <w:sz w:val="22"/>
          <w:szCs w:val="22"/>
        </w:rPr>
      </w:pPr>
    </w:p>
    <w:p w:rsidR="00C01A5D" w:rsidRDefault="00C01A5D" w:rsidP="00D66945">
      <w:pPr>
        <w:tabs>
          <w:tab w:val="left" w:pos="851"/>
        </w:tabs>
        <w:ind w:left="851"/>
        <w:rPr>
          <w:rFonts w:eastAsia="Arial Unicode MS" w:cs="Arial"/>
          <w:sz w:val="22"/>
          <w:szCs w:val="22"/>
        </w:rPr>
      </w:pPr>
    </w:p>
    <w:p w:rsidR="00C01A5D" w:rsidRPr="007828C4" w:rsidRDefault="00C01A5D" w:rsidP="00D66945">
      <w:pPr>
        <w:tabs>
          <w:tab w:val="left" w:pos="851"/>
        </w:tabs>
        <w:ind w:left="851"/>
        <w:rPr>
          <w:rFonts w:eastAsia="Arial Unicode MS" w:cs="Arial"/>
          <w:sz w:val="22"/>
          <w:szCs w:val="22"/>
        </w:rPr>
      </w:pPr>
    </w:p>
    <w:p w:rsidR="00D66945" w:rsidRPr="007828C4" w:rsidRDefault="00D66945" w:rsidP="00D66945">
      <w:pPr>
        <w:numPr>
          <w:ilvl w:val="2"/>
          <w:numId w:val="10"/>
        </w:numPr>
        <w:tabs>
          <w:tab w:val="left" w:pos="851"/>
        </w:tabs>
        <w:spacing w:after="0"/>
        <w:ind w:left="567" w:hanging="567"/>
        <w:contextualSpacing/>
        <w:rPr>
          <w:rFonts w:eastAsia="Arial Unicode MS" w:cs="Arial"/>
          <w:sz w:val="32"/>
          <w:szCs w:val="22"/>
        </w:rPr>
      </w:pPr>
      <w:r w:rsidRPr="007828C4">
        <w:rPr>
          <w:rFonts w:eastAsia="Arial Unicode MS" w:cs="Arial"/>
          <w:b/>
          <w:sz w:val="32"/>
          <w:szCs w:val="22"/>
        </w:rPr>
        <w:t>Investment income</w:t>
      </w:r>
    </w:p>
    <w:p w:rsidR="00D66945" w:rsidRPr="007828C4" w:rsidRDefault="00D66945" w:rsidP="00D66945">
      <w:pPr>
        <w:tabs>
          <w:tab w:val="left" w:pos="851"/>
        </w:tabs>
        <w:ind w:left="1276"/>
        <w:contextualSpacing/>
        <w:rPr>
          <w:rFonts w:eastAsia="Arial Unicode MS" w:cs="Arial"/>
          <w:szCs w:val="22"/>
        </w:rPr>
      </w:pPr>
    </w:p>
    <w:p w:rsidR="00D66945" w:rsidRPr="007828C4" w:rsidRDefault="00D66945" w:rsidP="00D66945">
      <w:pPr>
        <w:pStyle w:val="ListParagraph"/>
        <w:numPr>
          <w:ilvl w:val="3"/>
          <w:numId w:val="10"/>
        </w:numPr>
        <w:tabs>
          <w:tab w:val="left" w:pos="709"/>
        </w:tabs>
        <w:autoSpaceDE/>
        <w:autoSpaceDN/>
        <w:adjustRightInd/>
        <w:spacing w:after="0"/>
        <w:ind w:left="567" w:hanging="567"/>
        <w:rPr>
          <w:rFonts w:eastAsia="Arial Unicode MS" w:cs="Arial"/>
          <w:b/>
          <w:sz w:val="32"/>
          <w:szCs w:val="22"/>
        </w:rPr>
      </w:pPr>
      <w:r w:rsidRPr="007828C4">
        <w:rPr>
          <w:rFonts w:eastAsia="Arial Unicode MS" w:cs="Arial"/>
          <w:b/>
          <w:sz w:val="32"/>
          <w:szCs w:val="22"/>
        </w:rPr>
        <w:t>Interest income</w:t>
      </w: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Interest income is recognised in the fund account as it accrues, using the effective interest rate of the financial instrument as at the date of acquisition or origination.  Income includes the amortisation of any discount or premium, transaction costs or other differences between the initial carrying amount of the instrument and its amount at maturity calculated on an effective interest rate basis.</w:t>
      </w:r>
    </w:p>
    <w:p w:rsidR="00D66945" w:rsidRPr="007828C4" w:rsidRDefault="00D66945" w:rsidP="00D66945">
      <w:pPr>
        <w:tabs>
          <w:tab w:val="left" w:pos="709"/>
        </w:tabs>
        <w:rPr>
          <w:rFonts w:eastAsia="Arial Unicode MS" w:cs="Arial"/>
          <w:sz w:val="22"/>
          <w:szCs w:val="22"/>
        </w:rPr>
      </w:pPr>
    </w:p>
    <w:p w:rsidR="00D66945" w:rsidRPr="00F21C09" w:rsidRDefault="00D66945" w:rsidP="00D66945">
      <w:pPr>
        <w:numPr>
          <w:ilvl w:val="3"/>
          <w:numId w:val="12"/>
        </w:numPr>
        <w:tabs>
          <w:tab w:val="left" w:pos="709"/>
        </w:tabs>
        <w:spacing w:after="0"/>
        <w:ind w:left="1418" w:hanging="1418"/>
        <w:contextualSpacing/>
        <w:rPr>
          <w:rFonts w:eastAsia="Arial Unicode MS" w:cs="Arial"/>
          <w:sz w:val="32"/>
          <w:szCs w:val="22"/>
        </w:rPr>
      </w:pPr>
      <w:r w:rsidRPr="00F21C09">
        <w:rPr>
          <w:rFonts w:eastAsia="Arial Unicode MS" w:cs="Arial"/>
          <w:b/>
          <w:sz w:val="32"/>
          <w:szCs w:val="22"/>
        </w:rPr>
        <w:t>Dividend income</w:t>
      </w:r>
    </w:p>
    <w:p w:rsidR="00D66945" w:rsidRPr="00F21C09" w:rsidRDefault="00D66945" w:rsidP="00D66945">
      <w:pPr>
        <w:tabs>
          <w:tab w:val="left" w:pos="709"/>
        </w:tabs>
        <w:rPr>
          <w:rFonts w:eastAsia="Arial Unicode MS" w:cs="Arial"/>
          <w:sz w:val="22"/>
          <w:szCs w:val="22"/>
        </w:rPr>
      </w:pPr>
      <w:r w:rsidRPr="00F21C09">
        <w:rPr>
          <w:rFonts w:eastAsia="Arial Unicode MS" w:cs="Arial"/>
          <w:sz w:val="22"/>
          <w:szCs w:val="22"/>
        </w:rPr>
        <w:t xml:space="preserve">Dividend income is recognised on the date the shares are quoted ex-dividend and is included within distributions from pooled funds.  </w:t>
      </w:r>
    </w:p>
    <w:p w:rsidR="00D66945" w:rsidRPr="007828C4" w:rsidRDefault="00D66945" w:rsidP="00D66945">
      <w:pPr>
        <w:tabs>
          <w:tab w:val="left" w:pos="851"/>
        </w:tabs>
        <w:ind w:left="927"/>
        <w:rPr>
          <w:rFonts w:eastAsia="Arial Unicode MS" w:cs="Arial"/>
          <w:sz w:val="22"/>
          <w:szCs w:val="22"/>
        </w:rPr>
      </w:pPr>
    </w:p>
    <w:p w:rsidR="00D66945" w:rsidRPr="007828C4" w:rsidRDefault="00D66945" w:rsidP="00D66945">
      <w:pPr>
        <w:numPr>
          <w:ilvl w:val="3"/>
          <w:numId w:val="12"/>
        </w:numPr>
        <w:tabs>
          <w:tab w:val="left" w:pos="709"/>
        </w:tabs>
        <w:spacing w:after="0"/>
        <w:ind w:left="1560" w:hanging="1560"/>
        <w:contextualSpacing/>
        <w:rPr>
          <w:rFonts w:eastAsia="Arial Unicode MS" w:cs="Arial"/>
          <w:sz w:val="32"/>
          <w:szCs w:val="22"/>
        </w:rPr>
      </w:pPr>
      <w:r w:rsidRPr="007828C4">
        <w:rPr>
          <w:rFonts w:eastAsia="Arial Unicode MS" w:cs="Arial"/>
          <w:b/>
          <w:sz w:val="32"/>
          <w:szCs w:val="22"/>
        </w:rPr>
        <w:t>Distribution from pooled funds</w:t>
      </w:r>
    </w:p>
    <w:p w:rsidR="00D66945" w:rsidRDefault="00D66945" w:rsidP="00D66945">
      <w:pPr>
        <w:tabs>
          <w:tab w:val="left" w:pos="709"/>
        </w:tabs>
        <w:rPr>
          <w:rFonts w:eastAsia="Arial Unicode MS" w:cs="Arial"/>
          <w:sz w:val="22"/>
          <w:szCs w:val="22"/>
        </w:rPr>
      </w:pPr>
      <w:r w:rsidRPr="007828C4">
        <w:rPr>
          <w:rFonts w:eastAsia="Arial Unicode MS" w:cs="Arial"/>
          <w:sz w:val="22"/>
          <w:szCs w:val="22"/>
        </w:rPr>
        <w:t>Distributions from pooled funds are recognised at the date of issue</w:t>
      </w:r>
    </w:p>
    <w:p w:rsidR="00D66945" w:rsidRPr="007828C4" w:rsidRDefault="00D66945" w:rsidP="00D66945">
      <w:pPr>
        <w:tabs>
          <w:tab w:val="left" w:pos="709"/>
        </w:tabs>
        <w:rPr>
          <w:rFonts w:eastAsia="Arial Unicode MS" w:cs="Arial"/>
          <w:sz w:val="22"/>
          <w:szCs w:val="22"/>
        </w:rPr>
      </w:pPr>
      <w:r>
        <w:rPr>
          <w:rFonts w:eastAsia="Arial Unicode MS" w:cs="Arial"/>
          <w:sz w:val="22"/>
          <w:szCs w:val="22"/>
        </w:rPr>
        <w:t>Dividend income arising on equities which are now held within pooled funds is included within distributions from pooled funds.  It is Fund policy to reinvest dividend income.</w:t>
      </w:r>
    </w:p>
    <w:p w:rsidR="00D66945" w:rsidRPr="007828C4" w:rsidRDefault="00D66945" w:rsidP="00D66945">
      <w:pPr>
        <w:tabs>
          <w:tab w:val="left" w:pos="851"/>
        </w:tabs>
        <w:ind w:left="927"/>
        <w:rPr>
          <w:rFonts w:eastAsia="Arial Unicode MS" w:cs="Arial"/>
          <w:sz w:val="22"/>
          <w:szCs w:val="22"/>
        </w:rPr>
      </w:pPr>
    </w:p>
    <w:p w:rsidR="00D66945" w:rsidRPr="007828C4" w:rsidRDefault="00D66945" w:rsidP="00D66945">
      <w:pPr>
        <w:numPr>
          <w:ilvl w:val="3"/>
          <w:numId w:val="12"/>
        </w:numPr>
        <w:tabs>
          <w:tab w:val="left" w:pos="709"/>
        </w:tabs>
        <w:spacing w:after="0"/>
        <w:ind w:left="1560" w:hanging="1560"/>
        <w:contextualSpacing/>
        <w:rPr>
          <w:rFonts w:eastAsia="Arial Unicode MS" w:cs="Arial"/>
          <w:sz w:val="32"/>
          <w:szCs w:val="22"/>
        </w:rPr>
      </w:pPr>
      <w:r w:rsidRPr="007828C4">
        <w:rPr>
          <w:rFonts w:eastAsia="Arial Unicode MS" w:cs="Arial"/>
          <w:b/>
          <w:sz w:val="32"/>
          <w:szCs w:val="22"/>
        </w:rPr>
        <w:t>Property related income</w:t>
      </w: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Property-related income consists primarily of rental income.</w:t>
      </w:r>
    </w:p>
    <w:p w:rsidR="00D66945" w:rsidRDefault="00D66945" w:rsidP="00D66945">
      <w:pPr>
        <w:tabs>
          <w:tab w:val="left" w:pos="709"/>
        </w:tabs>
        <w:rPr>
          <w:rFonts w:eastAsia="Arial Unicode MS" w:cs="Arial"/>
          <w:sz w:val="22"/>
          <w:szCs w:val="22"/>
        </w:rPr>
      </w:pPr>
      <w:r w:rsidRPr="007828C4">
        <w:rPr>
          <w:rFonts w:eastAsia="Arial Unicode MS" w:cs="Arial"/>
          <w:sz w:val="22"/>
          <w:szCs w:val="22"/>
        </w:rPr>
        <w:t>Rental income from operating leases on properties owned by the Fund is recognised on a straight line basis over the term of the lease.  Any lease incentives granted are recognised as an integral part of the total rental income, over the term of the lease.</w:t>
      </w:r>
    </w:p>
    <w:p w:rsidR="00D66945" w:rsidRPr="007828C4" w:rsidRDefault="00D66945" w:rsidP="00D66945">
      <w:pPr>
        <w:tabs>
          <w:tab w:val="left" w:pos="709"/>
        </w:tabs>
        <w:rPr>
          <w:rFonts w:eastAsia="Arial Unicode MS" w:cs="Arial"/>
          <w:sz w:val="22"/>
          <w:szCs w:val="22"/>
        </w:rPr>
      </w:pPr>
      <w:r w:rsidRPr="00953B0F">
        <w:rPr>
          <w:rFonts w:eastAsia="Arial Unicode MS" w:cs="Arial"/>
          <w:sz w:val="22"/>
          <w:szCs w:val="22"/>
        </w:rPr>
        <w:t>Any property income not received by the end of the reporting period is disclosed in the net assets statement as a current financial asset.</w:t>
      </w: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Contingent rents based on the future amount of a factor that changes other than with the passage of time, such as turnover rents, are only recognised when contractually due.</w:t>
      </w:r>
    </w:p>
    <w:p w:rsidR="00D66945" w:rsidRPr="007828C4" w:rsidRDefault="00D66945" w:rsidP="00D66945">
      <w:pPr>
        <w:tabs>
          <w:tab w:val="left" w:pos="851"/>
        </w:tabs>
        <w:ind w:left="851"/>
        <w:rPr>
          <w:rFonts w:eastAsia="Arial Unicode MS" w:cs="Arial"/>
          <w:sz w:val="22"/>
          <w:szCs w:val="22"/>
        </w:rPr>
      </w:pPr>
    </w:p>
    <w:p w:rsidR="00D66945" w:rsidRPr="007828C4" w:rsidRDefault="00D66945" w:rsidP="00D66945">
      <w:pPr>
        <w:numPr>
          <w:ilvl w:val="3"/>
          <w:numId w:val="12"/>
        </w:numPr>
        <w:tabs>
          <w:tab w:val="left" w:pos="709"/>
        </w:tabs>
        <w:spacing w:after="0"/>
        <w:ind w:left="1560" w:hanging="1560"/>
        <w:contextualSpacing/>
        <w:rPr>
          <w:rFonts w:eastAsia="Arial Unicode MS" w:cs="Arial"/>
          <w:sz w:val="32"/>
          <w:szCs w:val="22"/>
        </w:rPr>
      </w:pPr>
      <w:r w:rsidRPr="007828C4">
        <w:rPr>
          <w:rFonts w:eastAsia="Arial Unicode MS" w:cs="Arial"/>
          <w:b/>
          <w:sz w:val="32"/>
          <w:szCs w:val="22"/>
        </w:rPr>
        <w:t>Movement in the net market value of investments</w:t>
      </w:r>
    </w:p>
    <w:p w:rsidR="00D66945" w:rsidRPr="007828C4" w:rsidRDefault="00D66945" w:rsidP="00D66945">
      <w:pPr>
        <w:tabs>
          <w:tab w:val="left" w:pos="709"/>
        </w:tabs>
        <w:ind w:left="1560"/>
        <w:contextualSpacing/>
        <w:rPr>
          <w:rFonts w:eastAsia="Arial Unicode MS" w:cs="Arial"/>
          <w:sz w:val="22"/>
          <w:szCs w:val="22"/>
        </w:rPr>
      </w:pP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Changes in the net market value of investments (including investment properties) are recognised as income and comprise all realised and unrealised profits/losses during the year.</w:t>
      </w:r>
    </w:p>
    <w:p w:rsidR="00C01A5D" w:rsidRPr="007828C4" w:rsidRDefault="00C01A5D" w:rsidP="00D66945">
      <w:pPr>
        <w:tabs>
          <w:tab w:val="left" w:pos="851"/>
        </w:tabs>
        <w:ind w:left="851"/>
        <w:rPr>
          <w:rFonts w:eastAsia="Arial Unicode MS" w:cs="Arial"/>
          <w:sz w:val="22"/>
          <w:szCs w:val="22"/>
        </w:rPr>
      </w:pPr>
    </w:p>
    <w:p w:rsidR="00D66945" w:rsidRPr="007828C4" w:rsidRDefault="00D66945" w:rsidP="00D66945">
      <w:pPr>
        <w:tabs>
          <w:tab w:val="left" w:pos="851"/>
        </w:tabs>
        <w:ind w:left="851"/>
        <w:rPr>
          <w:rFonts w:eastAsia="Arial Unicode MS" w:cs="Arial"/>
          <w:sz w:val="22"/>
          <w:szCs w:val="22"/>
        </w:rPr>
      </w:pPr>
    </w:p>
    <w:p w:rsidR="00D66945" w:rsidRPr="007828C4" w:rsidRDefault="00D66945" w:rsidP="00D66945">
      <w:pPr>
        <w:ind w:left="567" w:hanging="567"/>
        <w:rPr>
          <w:rFonts w:eastAsia="Arial Unicode MS" w:cs="Arial"/>
          <w:b/>
          <w:sz w:val="32"/>
          <w:szCs w:val="22"/>
        </w:rPr>
      </w:pPr>
      <w:r w:rsidRPr="007828C4">
        <w:rPr>
          <w:rFonts w:eastAsia="Arial Unicode MS" w:cs="Arial"/>
          <w:b/>
          <w:sz w:val="32"/>
          <w:szCs w:val="22"/>
        </w:rPr>
        <w:t>3.2</w:t>
      </w:r>
      <w:r w:rsidRPr="007828C4">
        <w:rPr>
          <w:rFonts w:eastAsia="Arial Unicode MS" w:cs="Arial"/>
          <w:b/>
          <w:sz w:val="32"/>
          <w:szCs w:val="22"/>
        </w:rPr>
        <w:tab/>
        <w:t xml:space="preserve"> Fund account – expense items</w:t>
      </w:r>
    </w:p>
    <w:p w:rsidR="00D66945" w:rsidRPr="007828C4" w:rsidRDefault="00D66945" w:rsidP="00D66945">
      <w:pPr>
        <w:ind w:left="567"/>
        <w:rPr>
          <w:rFonts w:eastAsia="Arial Unicode MS" w:cs="Arial"/>
          <w:b/>
          <w:szCs w:val="22"/>
        </w:rPr>
      </w:pPr>
    </w:p>
    <w:p w:rsidR="00D66945" w:rsidRPr="007828C4" w:rsidRDefault="00D66945" w:rsidP="00D66945">
      <w:pPr>
        <w:tabs>
          <w:tab w:val="num" w:pos="851"/>
        </w:tabs>
        <w:ind w:left="567" w:hanging="567"/>
        <w:rPr>
          <w:rFonts w:eastAsia="Arial Unicode MS" w:cs="Arial"/>
          <w:b/>
          <w:sz w:val="32"/>
          <w:szCs w:val="22"/>
        </w:rPr>
      </w:pPr>
      <w:r w:rsidRPr="007828C4">
        <w:rPr>
          <w:rFonts w:eastAsia="Arial Unicode MS" w:cs="Arial"/>
          <w:b/>
          <w:sz w:val="32"/>
          <w:szCs w:val="22"/>
        </w:rPr>
        <w:t xml:space="preserve">3.2.1 </w:t>
      </w:r>
      <w:r w:rsidRPr="007828C4">
        <w:rPr>
          <w:rFonts w:eastAsia="Arial Unicode MS" w:cs="Arial"/>
          <w:b/>
          <w:sz w:val="32"/>
          <w:szCs w:val="22"/>
        </w:rPr>
        <w:tab/>
        <w:t>Benefits payable</w:t>
      </w:r>
    </w:p>
    <w:p w:rsidR="00D66945" w:rsidRPr="007828C4" w:rsidRDefault="00D66945" w:rsidP="00D66945">
      <w:pPr>
        <w:tabs>
          <w:tab w:val="num" w:pos="567"/>
        </w:tabs>
        <w:rPr>
          <w:rFonts w:eastAsia="Arial Unicode MS" w:cs="Arial"/>
          <w:sz w:val="22"/>
          <w:szCs w:val="22"/>
        </w:rPr>
      </w:pPr>
      <w:r w:rsidRPr="007828C4">
        <w:rPr>
          <w:rFonts w:eastAsia="Arial Unicode MS" w:cs="Arial"/>
          <w:sz w:val="22"/>
          <w:szCs w:val="22"/>
        </w:rPr>
        <w:t>Pensions and lump sum benefits payable include all amounts known to be due as at the end of the financial year.  Any amounts due but unpaid are disclosed on the net assets statement as current liabilities.</w:t>
      </w:r>
    </w:p>
    <w:p w:rsidR="00D66945" w:rsidRDefault="00D66945" w:rsidP="00D66945">
      <w:pPr>
        <w:tabs>
          <w:tab w:val="num" w:pos="567"/>
        </w:tabs>
        <w:ind w:left="567"/>
        <w:rPr>
          <w:rFonts w:eastAsia="Arial Unicode MS" w:cs="Arial"/>
          <w:sz w:val="22"/>
          <w:szCs w:val="22"/>
        </w:rPr>
      </w:pPr>
    </w:p>
    <w:p w:rsidR="00C01A5D" w:rsidRDefault="00C01A5D" w:rsidP="00D66945">
      <w:pPr>
        <w:tabs>
          <w:tab w:val="num" w:pos="567"/>
        </w:tabs>
        <w:ind w:left="567"/>
        <w:rPr>
          <w:rFonts w:eastAsia="Arial Unicode MS" w:cs="Arial"/>
          <w:sz w:val="22"/>
          <w:szCs w:val="22"/>
        </w:rPr>
      </w:pPr>
    </w:p>
    <w:p w:rsidR="00C01A5D" w:rsidRPr="007828C4" w:rsidRDefault="00C01A5D" w:rsidP="00D66945">
      <w:pPr>
        <w:tabs>
          <w:tab w:val="num" w:pos="567"/>
        </w:tabs>
        <w:ind w:left="567"/>
        <w:rPr>
          <w:rFonts w:eastAsia="Arial Unicode MS" w:cs="Arial"/>
          <w:sz w:val="22"/>
          <w:szCs w:val="22"/>
        </w:rPr>
      </w:pPr>
    </w:p>
    <w:p w:rsidR="00D66945" w:rsidRPr="007828C4" w:rsidRDefault="00D66945" w:rsidP="00D66945">
      <w:pPr>
        <w:tabs>
          <w:tab w:val="num" w:pos="851"/>
        </w:tabs>
        <w:ind w:left="851" w:hanging="851"/>
        <w:rPr>
          <w:rFonts w:eastAsia="Arial Unicode MS" w:cs="Arial"/>
          <w:b/>
          <w:sz w:val="32"/>
          <w:szCs w:val="22"/>
        </w:rPr>
      </w:pPr>
      <w:r w:rsidRPr="007828C4">
        <w:rPr>
          <w:rFonts w:eastAsia="Arial Unicode MS" w:cs="Arial"/>
          <w:b/>
          <w:sz w:val="32"/>
          <w:szCs w:val="22"/>
        </w:rPr>
        <w:t>3.2.2 Taxation</w:t>
      </w:r>
    </w:p>
    <w:p w:rsidR="00D66945" w:rsidRPr="007828C4" w:rsidRDefault="00D66945" w:rsidP="00D66945">
      <w:pPr>
        <w:tabs>
          <w:tab w:val="num" w:pos="567"/>
        </w:tabs>
        <w:rPr>
          <w:rFonts w:eastAsia="Arial Unicode MS" w:cs="Arial"/>
          <w:sz w:val="22"/>
          <w:szCs w:val="22"/>
        </w:rPr>
      </w:pPr>
      <w:r w:rsidRPr="007828C4">
        <w:rPr>
          <w:rFonts w:eastAsia="Arial Unicode MS" w:cs="Arial"/>
          <w:sz w:val="22"/>
          <w:szCs w:val="22"/>
        </w:rPr>
        <w:t>The Fund is a registered public service scheme under section 1(1) of Schedule 36 of the Finance Act 2004 and as such is exempt from UK income tax on interest received and from capital gains tax on the proceeds of investments sold.  Income from overseas investments suffers withholding tax in the country of origin, unless exemption is permitted.  Irrecoverable tax is accounted for as a fund expense as it arises.</w:t>
      </w:r>
    </w:p>
    <w:p w:rsidR="00D66945" w:rsidRPr="007828C4" w:rsidRDefault="00D66945" w:rsidP="00D66945">
      <w:pPr>
        <w:tabs>
          <w:tab w:val="num" w:pos="567"/>
        </w:tabs>
        <w:ind w:left="567"/>
        <w:rPr>
          <w:rFonts w:eastAsia="Arial Unicode MS" w:cs="Arial"/>
          <w:sz w:val="22"/>
          <w:szCs w:val="22"/>
        </w:rPr>
      </w:pPr>
    </w:p>
    <w:p w:rsidR="00D66945" w:rsidRPr="007828C4" w:rsidRDefault="00D66945" w:rsidP="00D66945">
      <w:pPr>
        <w:tabs>
          <w:tab w:val="num" w:pos="567"/>
        </w:tabs>
        <w:ind w:left="567" w:hanging="567"/>
        <w:rPr>
          <w:rFonts w:eastAsia="Arial Unicode MS" w:cs="Arial"/>
          <w:b/>
          <w:sz w:val="32"/>
          <w:szCs w:val="22"/>
        </w:rPr>
      </w:pPr>
      <w:r w:rsidRPr="007828C4">
        <w:rPr>
          <w:rFonts w:eastAsia="Arial Unicode MS" w:cs="Arial"/>
          <w:b/>
          <w:sz w:val="32"/>
          <w:szCs w:val="22"/>
        </w:rPr>
        <w:t>3.2.3 Management expenses</w:t>
      </w:r>
    </w:p>
    <w:p w:rsidR="00D66945" w:rsidRPr="008E03F7" w:rsidRDefault="00D66945" w:rsidP="00D66945">
      <w:pPr>
        <w:rPr>
          <w:rFonts w:eastAsia="Arial Unicode MS" w:cs="Arial"/>
          <w:i/>
          <w:sz w:val="22"/>
          <w:szCs w:val="22"/>
          <w:lang w:eastAsia="en-GB"/>
        </w:rPr>
      </w:pPr>
      <w:r w:rsidRPr="008E03F7">
        <w:rPr>
          <w:rFonts w:eastAsia="Arial Unicode MS" w:cs="Arial"/>
          <w:sz w:val="22"/>
          <w:szCs w:val="22"/>
          <w:lang w:eastAsia="en-GB"/>
        </w:rPr>
        <w:t>The code does not require any breakdown of pension fund management expenses.  However, in the interests of greater transparency, the Fund discloses its pension fund management expenses in accordance with the CIPFA guidance "</w:t>
      </w:r>
      <w:r w:rsidRPr="008E03F7">
        <w:rPr>
          <w:rFonts w:eastAsia="Arial Unicode MS" w:cs="Arial"/>
          <w:i/>
          <w:sz w:val="22"/>
          <w:szCs w:val="22"/>
          <w:lang w:eastAsia="en-GB"/>
        </w:rPr>
        <w:t xml:space="preserve">Accounting for Local Government Pension Scheme Management Expenses (2016)".    </w:t>
      </w:r>
    </w:p>
    <w:p w:rsidR="00D66945" w:rsidRPr="008E03F7" w:rsidRDefault="00D66945" w:rsidP="00D66945">
      <w:pPr>
        <w:pStyle w:val="Default"/>
        <w:numPr>
          <w:ilvl w:val="0"/>
          <w:numId w:val="23"/>
        </w:numPr>
        <w:spacing w:after="120"/>
        <w:ind w:left="1281" w:hanging="357"/>
        <w:jc w:val="both"/>
        <w:rPr>
          <w:rFonts w:eastAsia="Arial Unicode MS"/>
          <w:sz w:val="22"/>
        </w:rPr>
      </w:pPr>
      <w:r w:rsidRPr="008E03F7">
        <w:rPr>
          <w:rFonts w:eastAsia="Arial Unicode MS"/>
          <w:sz w:val="22"/>
        </w:rPr>
        <w:t>3.2.4 – Administrative expenses</w:t>
      </w:r>
    </w:p>
    <w:p w:rsidR="00D66945" w:rsidRPr="008E03F7" w:rsidRDefault="00D66945" w:rsidP="00D66945">
      <w:pPr>
        <w:pStyle w:val="Default"/>
        <w:numPr>
          <w:ilvl w:val="0"/>
          <w:numId w:val="23"/>
        </w:numPr>
        <w:spacing w:after="120"/>
        <w:ind w:left="1281" w:hanging="357"/>
        <w:jc w:val="both"/>
        <w:rPr>
          <w:rFonts w:eastAsia="Arial Unicode MS"/>
          <w:sz w:val="22"/>
        </w:rPr>
      </w:pPr>
      <w:r w:rsidRPr="008E03F7">
        <w:rPr>
          <w:rFonts w:eastAsia="Arial Unicode MS"/>
          <w:sz w:val="22"/>
        </w:rPr>
        <w:t>3.2.5 – Oversight and governance costs</w:t>
      </w:r>
    </w:p>
    <w:p w:rsidR="00D66945" w:rsidRPr="008E03F7" w:rsidRDefault="00D66945" w:rsidP="00D66945">
      <w:pPr>
        <w:pStyle w:val="Default"/>
        <w:numPr>
          <w:ilvl w:val="0"/>
          <w:numId w:val="23"/>
        </w:numPr>
        <w:jc w:val="both"/>
        <w:rPr>
          <w:rFonts w:eastAsia="Arial Unicode MS"/>
          <w:sz w:val="22"/>
        </w:rPr>
      </w:pPr>
      <w:r w:rsidRPr="008E03F7">
        <w:rPr>
          <w:rFonts w:eastAsia="Arial Unicode MS"/>
          <w:sz w:val="22"/>
        </w:rPr>
        <w:t>3.2.6 – Investment management expenses</w:t>
      </w:r>
    </w:p>
    <w:p w:rsidR="00D66945" w:rsidRPr="007828C4" w:rsidRDefault="00D66945" w:rsidP="00D66945">
      <w:pPr>
        <w:pStyle w:val="Default"/>
        <w:ind w:left="1287"/>
        <w:jc w:val="both"/>
        <w:rPr>
          <w:rFonts w:eastAsia="Arial Unicode MS"/>
          <w:sz w:val="22"/>
        </w:rPr>
      </w:pPr>
    </w:p>
    <w:p w:rsidR="00D66945" w:rsidRPr="007828C4" w:rsidRDefault="00D66945" w:rsidP="00D66945">
      <w:pPr>
        <w:tabs>
          <w:tab w:val="num" w:pos="851"/>
        </w:tabs>
        <w:ind w:left="567" w:hanging="567"/>
        <w:contextualSpacing/>
        <w:rPr>
          <w:rFonts w:eastAsia="Arial Unicode MS" w:cs="Arial"/>
          <w:b/>
          <w:sz w:val="32"/>
          <w:szCs w:val="22"/>
        </w:rPr>
      </w:pPr>
      <w:r w:rsidRPr="007828C4">
        <w:rPr>
          <w:rFonts w:eastAsia="Arial Unicode MS" w:cs="Arial"/>
          <w:b/>
          <w:sz w:val="32"/>
          <w:szCs w:val="22"/>
        </w:rPr>
        <w:t>3.2.4 Administrative expenses</w:t>
      </w:r>
    </w:p>
    <w:p w:rsidR="00D66945" w:rsidRPr="007828C4" w:rsidRDefault="00D66945" w:rsidP="00D66945">
      <w:pPr>
        <w:rPr>
          <w:rFonts w:eastAsia="Arial Unicode MS" w:cs="Arial"/>
          <w:sz w:val="22"/>
          <w:szCs w:val="22"/>
          <w:lang w:eastAsia="en-GB"/>
        </w:rPr>
      </w:pPr>
      <w:r>
        <w:rPr>
          <w:rFonts w:eastAsia="Arial Unicode MS" w:cs="Arial"/>
          <w:sz w:val="22"/>
          <w:szCs w:val="22"/>
          <w:lang w:eastAsia="en-GB"/>
        </w:rPr>
        <w:t>Administrative</w:t>
      </w:r>
      <w:r w:rsidRPr="007828C4">
        <w:rPr>
          <w:rFonts w:eastAsia="Arial Unicode MS" w:cs="Arial"/>
          <w:sz w:val="22"/>
          <w:szCs w:val="22"/>
          <w:lang w:eastAsia="en-GB"/>
        </w:rPr>
        <w:t xml:space="preserve"> expenses consist of the following:</w:t>
      </w:r>
    </w:p>
    <w:p w:rsidR="00D66945" w:rsidRPr="007828C4" w:rsidRDefault="00D66945" w:rsidP="00D66945">
      <w:pPr>
        <w:pStyle w:val="ListParagraph"/>
        <w:numPr>
          <w:ilvl w:val="0"/>
          <w:numId w:val="24"/>
        </w:numPr>
        <w:ind w:left="1276" w:hanging="284"/>
        <w:contextualSpacing w:val="0"/>
        <w:rPr>
          <w:rFonts w:eastAsia="Arial Unicode MS" w:cs="Arial"/>
          <w:sz w:val="22"/>
          <w:szCs w:val="22"/>
          <w:lang w:eastAsia="en-GB"/>
        </w:rPr>
      </w:pPr>
      <w:r w:rsidRPr="007828C4">
        <w:rPr>
          <w:rFonts w:eastAsia="Arial Unicode MS" w:cs="Arial"/>
          <w:sz w:val="22"/>
          <w:szCs w:val="22"/>
          <w:lang w:eastAsia="en-GB"/>
        </w:rPr>
        <w:t xml:space="preserve">Expenses related to LGPS members and pensioners. These include all activities the pension scheme must perform to administer entitlements and provide members with scheme and benefit entitlement information. Examples of this include pension allocations, benefit estimates, payment of benefits, processing of the transfer of assets, commutation, communications with members and pensioners, and annual benefit statements; </w:t>
      </w:r>
    </w:p>
    <w:p w:rsidR="00D66945" w:rsidRPr="007828C4" w:rsidRDefault="00D66945" w:rsidP="00D66945">
      <w:pPr>
        <w:pStyle w:val="ListParagraph"/>
        <w:numPr>
          <w:ilvl w:val="0"/>
          <w:numId w:val="24"/>
        </w:numPr>
        <w:ind w:left="1276" w:hanging="284"/>
        <w:contextualSpacing w:val="0"/>
        <w:rPr>
          <w:rFonts w:eastAsia="Arial Unicode MS" w:cs="Arial"/>
          <w:sz w:val="22"/>
          <w:szCs w:val="22"/>
          <w:lang w:eastAsia="en-GB"/>
        </w:rPr>
      </w:pPr>
      <w:r w:rsidRPr="007828C4">
        <w:rPr>
          <w:rFonts w:eastAsia="Arial Unicode MS" w:cs="Arial"/>
          <w:sz w:val="22"/>
          <w:szCs w:val="22"/>
          <w:lang w:eastAsia="en-GB"/>
        </w:rPr>
        <w:t xml:space="preserve">Expenses related to interaction with scheme employers e.g. data collection and verification, contributions collection and reconciliation, the employer’s help desk or other employer support, and communications with employers; and </w:t>
      </w:r>
    </w:p>
    <w:p w:rsidR="00D66945" w:rsidRPr="007828C4" w:rsidRDefault="00D66945" w:rsidP="00D66945">
      <w:pPr>
        <w:pStyle w:val="ListParagraph"/>
        <w:numPr>
          <w:ilvl w:val="0"/>
          <w:numId w:val="24"/>
        </w:numPr>
        <w:spacing w:after="0"/>
        <w:ind w:left="1276" w:hanging="283"/>
        <w:rPr>
          <w:rFonts w:eastAsia="Arial Unicode MS" w:cs="Arial"/>
          <w:sz w:val="22"/>
          <w:szCs w:val="22"/>
          <w:lang w:eastAsia="en-GB"/>
        </w:rPr>
      </w:pPr>
      <w:r w:rsidRPr="007828C4">
        <w:rPr>
          <w:rFonts w:eastAsia="Arial Unicode MS" w:cs="Arial"/>
          <w:sz w:val="22"/>
          <w:szCs w:val="22"/>
          <w:lang w:eastAsia="en-GB"/>
        </w:rPr>
        <w:t xml:space="preserve">Associated project expenses. </w:t>
      </w:r>
    </w:p>
    <w:p w:rsidR="00D66945" w:rsidRPr="007828C4" w:rsidRDefault="00D66945" w:rsidP="00D66945">
      <w:pPr>
        <w:pStyle w:val="ListParagraph"/>
        <w:ind w:left="993"/>
        <w:rPr>
          <w:rFonts w:eastAsia="Arial Unicode MS" w:cs="Arial"/>
          <w:sz w:val="22"/>
          <w:szCs w:val="22"/>
          <w:lang w:eastAsia="en-GB"/>
        </w:rPr>
      </w:pPr>
    </w:p>
    <w:p w:rsidR="00D66945" w:rsidRPr="007828C4" w:rsidRDefault="00D66945" w:rsidP="00D66945">
      <w:pPr>
        <w:rPr>
          <w:rFonts w:eastAsia="Arial Unicode MS" w:cs="Arial"/>
          <w:sz w:val="22"/>
          <w:szCs w:val="22"/>
          <w:lang w:eastAsia="en-GB"/>
        </w:rPr>
      </w:pPr>
      <w:r w:rsidRPr="007828C4">
        <w:rPr>
          <w:rFonts w:eastAsia="Arial Unicode MS" w:cs="Arial"/>
          <w:sz w:val="22"/>
          <w:szCs w:val="22"/>
          <w:lang w:eastAsia="en-GB"/>
        </w:rPr>
        <w:t xml:space="preserve">All administrative expenses are accounted for on an accruals basis. </w:t>
      </w:r>
    </w:p>
    <w:p w:rsidR="00D66945" w:rsidRPr="007828C4" w:rsidRDefault="00D66945" w:rsidP="00D66945">
      <w:pPr>
        <w:tabs>
          <w:tab w:val="num" w:pos="851"/>
        </w:tabs>
        <w:ind w:left="1287" w:hanging="1287"/>
        <w:contextualSpacing/>
        <w:rPr>
          <w:rFonts w:eastAsia="Arial Unicode MS" w:cs="Arial"/>
          <w:b/>
          <w:sz w:val="32"/>
          <w:szCs w:val="22"/>
        </w:rPr>
      </w:pPr>
      <w:r w:rsidRPr="007828C4">
        <w:rPr>
          <w:rFonts w:eastAsia="Arial Unicode MS" w:cs="Arial"/>
          <w:b/>
          <w:sz w:val="32"/>
          <w:szCs w:val="22"/>
        </w:rPr>
        <w:t>3.2.5 Oversight and governance costs</w:t>
      </w:r>
    </w:p>
    <w:p w:rsidR="00D66945" w:rsidRPr="007828C4" w:rsidRDefault="00D66945" w:rsidP="00D66945">
      <w:pPr>
        <w:spacing w:after="152"/>
        <w:rPr>
          <w:rFonts w:eastAsia="Arial Unicode MS" w:cs="Arial"/>
          <w:sz w:val="22"/>
          <w:lang w:eastAsia="en-GB"/>
        </w:rPr>
      </w:pPr>
      <w:r w:rsidRPr="007828C4">
        <w:rPr>
          <w:rFonts w:eastAsia="Arial Unicode MS" w:cs="Arial"/>
          <w:sz w:val="22"/>
          <w:lang w:eastAsia="en-GB"/>
        </w:rPr>
        <w:t xml:space="preserve">Oversight and governance expenses include the following costs: </w:t>
      </w:r>
    </w:p>
    <w:p w:rsidR="00D66945" w:rsidRPr="007828C4" w:rsidRDefault="00D66945" w:rsidP="00D66945">
      <w:pPr>
        <w:pStyle w:val="ListParagraph"/>
        <w:numPr>
          <w:ilvl w:val="0"/>
          <w:numId w:val="24"/>
        </w:numPr>
        <w:ind w:left="1276" w:hanging="284"/>
        <w:contextualSpacing w:val="0"/>
        <w:rPr>
          <w:rFonts w:eastAsia="Arial Unicode MS" w:cs="Arial"/>
          <w:sz w:val="22"/>
          <w:lang w:eastAsia="en-GB"/>
        </w:rPr>
      </w:pPr>
      <w:r w:rsidRPr="007828C4">
        <w:rPr>
          <w:rFonts w:eastAsia="Arial Unicode MS" w:cs="Arial"/>
          <w:sz w:val="22"/>
          <w:lang w:eastAsia="en-GB"/>
        </w:rPr>
        <w:t xml:space="preserve">Investment advisory services (strategic allocation, manager monitoring etc.); </w:t>
      </w:r>
    </w:p>
    <w:p w:rsidR="00D66945" w:rsidRPr="007828C4" w:rsidRDefault="00D66945" w:rsidP="00D66945">
      <w:pPr>
        <w:pStyle w:val="ListParagraph"/>
        <w:numPr>
          <w:ilvl w:val="0"/>
          <w:numId w:val="24"/>
        </w:numPr>
        <w:ind w:left="1276" w:hanging="284"/>
        <w:contextualSpacing w:val="0"/>
        <w:rPr>
          <w:rFonts w:eastAsia="Arial Unicode MS" w:cs="Arial"/>
          <w:sz w:val="22"/>
          <w:lang w:eastAsia="en-GB"/>
        </w:rPr>
      </w:pPr>
      <w:r w:rsidRPr="007828C4">
        <w:rPr>
          <w:rFonts w:eastAsia="Arial Unicode MS" w:cs="Arial"/>
          <w:sz w:val="22"/>
          <w:lang w:eastAsia="en-GB"/>
        </w:rPr>
        <w:t xml:space="preserve">Independent advisors to the pension fund; </w:t>
      </w:r>
    </w:p>
    <w:p w:rsidR="00D66945" w:rsidRPr="007828C4" w:rsidRDefault="00D66945" w:rsidP="00D66945">
      <w:pPr>
        <w:pStyle w:val="ListParagraph"/>
        <w:numPr>
          <w:ilvl w:val="0"/>
          <w:numId w:val="24"/>
        </w:numPr>
        <w:ind w:left="1276" w:hanging="284"/>
        <w:contextualSpacing w:val="0"/>
        <w:rPr>
          <w:rFonts w:eastAsia="Arial Unicode MS" w:cs="Arial"/>
          <w:sz w:val="22"/>
          <w:lang w:eastAsia="en-GB"/>
        </w:rPr>
      </w:pPr>
      <w:r w:rsidRPr="007828C4">
        <w:rPr>
          <w:rFonts w:eastAsia="Arial Unicode MS" w:cs="Arial"/>
          <w:sz w:val="22"/>
          <w:lang w:eastAsia="en-GB"/>
        </w:rPr>
        <w:t>Operation and support of the pension</w:t>
      </w:r>
      <w:r>
        <w:rPr>
          <w:rFonts w:eastAsia="Arial Unicode MS" w:cs="Arial"/>
          <w:sz w:val="22"/>
          <w:lang w:eastAsia="en-GB"/>
        </w:rPr>
        <w:t xml:space="preserve"> fund</w:t>
      </w:r>
      <w:r w:rsidRPr="007828C4">
        <w:rPr>
          <w:rFonts w:eastAsia="Arial Unicode MS" w:cs="Arial"/>
          <w:sz w:val="22"/>
          <w:lang w:eastAsia="en-GB"/>
        </w:rPr>
        <w:t xml:space="preserve"> committee (i.e. those charged with governance of the pension fund), local pensions board, or any other oversight body; </w:t>
      </w:r>
    </w:p>
    <w:p w:rsidR="00D66945" w:rsidRPr="007828C4" w:rsidRDefault="00D66945" w:rsidP="00D66945">
      <w:pPr>
        <w:pStyle w:val="ListParagraph"/>
        <w:numPr>
          <w:ilvl w:val="0"/>
          <w:numId w:val="24"/>
        </w:numPr>
        <w:ind w:left="1276" w:hanging="284"/>
        <w:contextualSpacing w:val="0"/>
        <w:rPr>
          <w:rFonts w:eastAsia="Arial Unicode MS" w:cs="Arial"/>
          <w:sz w:val="22"/>
          <w:lang w:eastAsia="en-GB"/>
        </w:rPr>
      </w:pPr>
      <w:r w:rsidRPr="007828C4">
        <w:rPr>
          <w:rFonts w:eastAsia="Arial Unicode MS" w:cs="Arial"/>
          <w:sz w:val="22"/>
          <w:lang w:eastAsia="en-GB"/>
        </w:rPr>
        <w:t xml:space="preserve">Governance and voting services; </w:t>
      </w:r>
    </w:p>
    <w:p w:rsidR="00D66945" w:rsidRPr="007828C4" w:rsidRDefault="00D66945" w:rsidP="00D66945">
      <w:pPr>
        <w:pStyle w:val="ListParagraph"/>
        <w:numPr>
          <w:ilvl w:val="0"/>
          <w:numId w:val="24"/>
        </w:numPr>
        <w:ind w:left="1276" w:hanging="284"/>
        <w:contextualSpacing w:val="0"/>
        <w:rPr>
          <w:rFonts w:eastAsia="Arial Unicode MS" w:cs="Arial"/>
          <w:sz w:val="22"/>
          <w:lang w:eastAsia="en-GB"/>
        </w:rPr>
      </w:pPr>
      <w:r w:rsidRPr="007828C4">
        <w:rPr>
          <w:rFonts w:eastAsia="Arial Unicode MS" w:cs="Arial"/>
          <w:sz w:val="22"/>
          <w:lang w:eastAsia="en-GB"/>
        </w:rPr>
        <w:t xml:space="preserve">Costs of compliance with statutory or non-statutory internal or external reporting (annual reports and accounts, etc.); </w:t>
      </w:r>
    </w:p>
    <w:p w:rsidR="00D66945" w:rsidRPr="007828C4" w:rsidRDefault="00D66945" w:rsidP="00D66945">
      <w:pPr>
        <w:pStyle w:val="ListParagraph"/>
        <w:numPr>
          <w:ilvl w:val="0"/>
          <w:numId w:val="24"/>
        </w:numPr>
        <w:ind w:left="1276" w:hanging="284"/>
        <w:contextualSpacing w:val="0"/>
        <w:rPr>
          <w:rFonts w:eastAsia="Arial Unicode MS" w:cs="Arial"/>
          <w:sz w:val="22"/>
          <w:lang w:eastAsia="en-GB"/>
        </w:rPr>
      </w:pPr>
      <w:r w:rsidRPr="007828C4">
        <w:rPr>
          <w:rFonts w:eastAsia="Arial Unicode MS" w:cs="Arial"/>
          <w:sz w:val="22"/>
          <w:lang w:eastAsia="en-GB"/>
        </w:rPr>
        <w:t xml:space="preserve">Legal, actuarial and tax advisory services; </w:t>
      </w:r>
    </w:p>
    <w:p w:rsidR="00D66945" w:rsidRPr="007828C4" w:rsidRDefault="00D66945" w:rsidP="00D66945">
      <w:pPr>
        <w:pStyle w:val="ListParagraph"/>
        <w:numPr>
          <w:ilvl w:val="0"/>
          <w:numId w:val="24"/>
        </w:numPr>
        <w:ind w:left="1276" w:hanging="284"/>
        <w:contextualSpacing w:val="0"/>
        <w:rPr>
          <w:rFonts w:eastAsia="Arial Unicode MS" w:cs="Arial"/>
          <w:sz w:val="22"/>
          <w:lang w:eastAsia="en-GB"/>
        </w:rPr>
      </w:pPr>
      <w:r w:rsidRPr="007828C4">
        <w:rPr>
          <w:rFonts w:eastAsia="Arial Unicode MS" w:cs="Arial"/>
          <w:sz w:val="22"/>
          <w:lang w:eastAsia="en-GB"/>
        </w:rPr>
        <w:t xml:space="preserve">Non-custodian accountancy and banking services; and </w:t>
      </w:r>
    </w:p>
    <w:p w:rsidR="00D66945" w:rsidRPr="007828C4" w:rsidRDefault="00D66945" w:rsidP="00D66945">
      <w:pPr>
        <w:pStyle w:val="ListParagraph"/>
        <w:numPr>
          <w:ilvl w:val="0"/>
          <w:numId w:val="24"/>
        </w:numPr>
        <w:spacing w:after="0"/>
        <w:ind w:left="1276" w:hanging="284"/>
        <w:rPr>
          <w:rFonts w:eastAsia="Arial Unicode MS" w:cs="Arial"/>
          <w:sz w:val="22"/>
          <w:lang w:eastAsia="en-GB"/>
        </w:rPr>
      </w:pPr>
      <w:r w:rsidRPr="007828C4">
        <w:rPr>
          <w:rFonts w:eastAsia="Arial Unicode MS" w:cs="Arial"/>
          <w:sz w:val="22"/>
          <w:lang w:eastAsia="en-GB"/>
        </w:rPr>
        <w:t xml:space="preserve">Internal and external audit. </w:t>
      </w:r>
    </w:p>
    <w:p w:rsidR="00D66945" w:rsidRPr="007828C4" w:rsidRDefault="00D66945" w:rsidP="00D66945">
      <w:pPr>
        <w:pStyle w:val="ListParagraph"/>
        <w:tabs>
          <w:tab w:val="num" w:pos="851"/>
        </w:tabs>
        <w:ind w:left="1287" w:hanging="720"/>
        <w:rPr>
          <w:rFonts w:eastAsia="Arial Unicode MS" w:cs="Arial"/>
          <w:sz w:val="22"/>
          <w:lang w:eastAsia="en-GB"/>
        </w:rPr>
      </w:pPr>
    </w:p>
    <w:p w:rsidR="00D66945" w:rsidRPr="007828C4" w:rsidRDefault="00D66945" w:rsidP="00D66945">
      <w:pPr>
        <w:tabs>
          <w:tab w:val="num" w:pos="567"/>
        </w:tabs>
        <w:rPr>
          <w:rFonts w:eastAsia="Arial Unicode MS" w:cs="Arial"/>
          <w:sz w:val="22"/>
        </w:rPr>
      </w:pPr>
      <w:r w:rsidRPr="007828C4">
        <w:rPr>
          <w:rFonts w:eastAsia="Arial Unicode MS" w:cs="Arial"/>
          <w:sz w:val="22"/>
        </w:rPr>
        <w:t>All oversight and governance expenses are accounted for on an accruals basis.  All staff costs associated with governance and oversight are charged direct to the Fund.  Associated management, accommodation and other overheads are apportioned to this activity and charged as expenses to the Fund.</w:t>
      </w:r>
    </w:p>
    <w:p w:rsidR="00D66945" w:rsidRPr="007828C4" w:rsidRDefault="00D66945" w:rsidP="00D66945">
      <w:pPr>
        <w:rPr>
          <w:rFonts w:eastAsia="Arial Unicode MS" w:cs="Arial"/>
          <w:b/>
          <w:sz w:val="32"/>
          <w:szCs w:val="22"/>
        </w:rPr>
      </w:pPr>
      <w:r w:rsidRPr="007828C4">
        <w:rPr>
          <w:rFonts w:eastAsia="Arial Unicode MS" w:cs="Arial"/>
          <w:b/>
          <w:sz w:val="32"/>
          <w:szCs w:val="22"/>
        </w:rPr>
        <w:t>3.2.6 Investment management expenses</w:t>
      </w:r>
    </w:p>
    <w:p w:rsidR="00D66945" w:rsidRPr="007828C4" w:rsidRDefault="00D66945" w:rsidP="00D66945">
      <w:pPr>
        <w:rPr>
          <w:rFonts w:eastAsia="Arial Unicode MS" w:cs="Arial"/>
          <w:sz w:val="22"/>
        </w:rPr>
      </w:pPr>
      <w:r w:rsidRPr="007828C4">
        <w:rPr>
          <w:rFonts w:eastAsia="Arial Unicode MS" w:cs="Arial"/>
          <w:sz w:val="22"/>
        </w:rPr>
        <w:t>Investment management expenses are defined as any expenses incurred in relation to the management of pension fund assets and financial instruments entered into in relation to the management of fund assets. This includes expenses directly invoiced by investment managers</w:t>
      </w:r>
      <w:r>
        <w:rPr>
          <w:rFonts w:eastAsia="Arial Unicode MS" w:cs="Arial"/>
          <w:sz w:val="22"/>
        </w:rPr>
        <w:t>, custody fees</w:t>
      </w:r>
      <w:r w:rsidRPr="007828C4">
        <w:rPr>
          <w:rFonts w:eastAsia="Arial Unicode MS" w:cs="Arial"/>
          <w:sz w:val="22"/>
        </w:rPr>
        <w:t xml:space="preserve"> and any fees payable to fund managers which are deducted from fund assets.   Transaction costs for all categories of investment, other than directly held property, are included within investment management expenses.</w:t>
      </w:r>
    </w:p>
    <w:p w:rsidR="00D66945" w:rsidRPr="007828C4" w:rsidRDefault="00D66945" w:rsidP="00D66945">
      <w:pPr>
        <w:tabs>
          <w:tab w:val="num" w:pos="567"/>
        </w:tabs>
        <w:rPr>
          <w:rFonts w:eastAsia="Arial Unicode MS" w:cs="Arial"/>
          <w:sz w:val="22"/>
        </w:rPr>
      </w:pPr>
      <w:r w:rsidRPr="007828C4">
        <w:rPr>
          <w:rFonts w:eastAsia="Arial Unicode MS" w:cs="Arial"/>
          <w:sz w:val="22"/>
        </w:rPr>
        <w:t>All investment management expenses are accounted for on an accruals basis.</w:t>
      </w:r>
    </w:p>
    <w:p w:rsidR="00D66945" w:rsidRPr="007828C4" w:rsidRDefault="00D66945" w:rsidP="00D66945">
      <w:pPr>
        <w:tabs>
          <w:tab w:val="num" w:pos="993"/>
        </w:tabs>
        <w:rPr>
          <w:rFonts w:eastAsia="Arial Unicode MS" w:cs="Arial"/>
          <w:sz w:val="22"/>
        </w:rPr>
      </w:pPr>
      <w:r w:rsidRPr="007828C4">
        <w:rPr>
          <w:rFonts w:eastAsia="Arial Unicode MS" w:cs="Arial"/>
          <w:sz w:val="22"/>
        </w:rPr>
        <w:t>Fees of the external investment managers,</w:t>
      </w:r>
      <w:r>
        <w:rPr>
          <w:rFonts w:eastAsia="Arial Unicode MS" w:cs="Arial"/>
          <w:sz w:val="22"/>
        </w:rPr>
        <w:t xml:space="preserve"> including the Local Pensions Partnership </w:t>
      </w:r>
      <w:r w:rsidRPr="007828C4">
        <w:rPr>
          <w:rFonts w:eastAsia="Arial Unicode MS" w:cs="Arial"/>
          <w:sz w:val="22"/>
        </w:rPr>
        <w:t>and custodian are agreed in the respective mandates governing their appointments.  Broadly, these are based on the market value of investments under their management and therefore increase or reduce as the value of these investments change.</w:t>
      </w:r>
    </w:p>
    <w:p w:rsidR="00D66945" w:rsidRPr="007828C4" w:rsidRDefault="00D66945" w:rsidP="00D66945">
      <w:pPr>
        <w:tabs>
          <w:tab w:val="num" w:pos="851"/>
        </w:tabs>
        <w:rPr>
          <w:rFonts w:eastAsia="Arial Unicode MS" w:cs="Arial"/>
          <w:sz w:val="22"/>
        </w:rPr>
      </w:pPr>
      <w:r w:rsidRPr="007828C4">
        <w:rPr>
          <w:rFonts w:eastAsia="Arial Unicode MS" w:cs="Arial"/>
          <w:sz w:val="22"/>
        </w:rPr>
        <w:t>The fund has negotiated with a number of managers that an element of their fee be performance related.</w:t>
      </w:r>
    </w:p>
    <w:p w:rsidR="00D66945" w:rsidRPr="007828C4" w:rsidRDefault="00D66945" w:rsidP="00D66945">
      <w:pPr>
        <w:tabs>
          <w:tab w:val="num" w:pos="567"/>
        </w:tabs>
        <w:rPr>
          <w:rFonts w:eastAsia="Arial Unicode MS" w:cs="Arial"/>
          <w:sz w:val="22"/>
        </w:rPr>
      </w:pPr>
      <w:r w:rsidRPr="007828C4">
        <w:rPr>
          <w:rFonts w:eastAsia="Arial Unicode MS" w:cs="Arial"/>
          <w:sz w:val="22"/>
        </w:rPr>
        <w:t xml:space="preserve">Where an investment manager's fee note has not been received by the net assets statement date, an estimate based upon the market value of their mandate as at the end of the year is used for the inclusion in the fund account.  In </w:t>
      </w:r>
      <w:r>
        <w:rPr>
          <w:rFonts w:eastAsia="Arial Unicode MS" w:cs="Arial"/>
          <w:sz w:val="22"/>
        </w:rPr>
        <w:t>2017/18</w:t>
      </w:r>
      <w:r w:rsidRPr="007828C4">
        <w:rPr>
          <w:rFonts w:eastAsia="Arial Unicode MS" w:cs="Arial"/>
          <w:sz w:val="22"/>
        </w:rPr>
        <w:t xml:space="preserve">, </w:t>
      </w:r>
      <w:r>
        <w:rPr>
          <w:rFonts w:eastAsia="Arial Unicode MS" w:cs="Arial"/>
          <w:sz w:val="22"/>
        </w:rPr>
        <w:t>£11.5m</w:t>
      </w:r>
      <w:r w:rsidRPr="007828C4">
        <w:rPr>
          <w:rFonts w:eastAsia="Arial Unicode MS" w:cs="Arial"/>
          <w:sz w:val="22"/>
        </w:rPr>
        <w:t xml:space="preserve"> of fees is based on such estimates (201</w:t>
      </w:r>
      <w:r>
        <w:rPr>
          <w:rFonts w:eastAsia="Arial Unicode MS" w:cs="Arial"/>
          <w:sz w:val="22"/>
        </w:rPr>
        <w:t>6/17</w:t>
      </w:r>
      <w:r w:rsidRPr="007828C4">
        <w:rPr>
          <w:rFonts w:eastAsia="Arial Unicode MS" w:cs="Arial"/>
          <w:sz w:val="22"/>
        </w:rPr>
        <w:t>: £</w:t>
      </w:r>
      <w:r>
        <w:rPr>
          <w:rFonts w:eastAsia="Arial Unicode MS" w:cs="Arial"/>
          <w:sz w:val="22"/>
        </w:rPr>
        <w:t>17.5m</w:t>
      </w:r>
      <w:r w:rsidRPr="007828C4">
        <w:rPr>
          <w:rFonts w:eastAsia="Arial Unicode MS" w:cs="Arial"/>
          <w:sz w:val="22"/>
        </w:rPr>
        <w:t>).</w:t>
      </w:r>
    </w:p>
    <w:p w:rsidR="00D66945" w:rsidRPr="007828C4" w:rsidRDefault="00D66945" w:rsidP="00D66945">
      <w:pPr>
        <w:rPr>
          <w:rFonts w:eastAsia="Arial Unicode MS" w:cs="Arial"/>
          <w:b/>
          <w:sz w:val="32"/>
          <w:szCs w:val="22"/>
        </w:rPr>
      </w:pPr>
    </w:p>
    <w:p w:rsidR="00D66945" w:rsidRPr="007828C4" w:rsidRDefault="00D66945" w:rsidP="00D66945">
      <w:pPr>
        <w:rPr>
          <w:rFonts w:eastAsia="Arial Unicode MS" w:cs="Arial"/>
          <w:b/>
          <w:sz w:val="20"/>
          <w:szCs w:val="22"/>
        </w:rPr>
      </w:pPr>
    </w:p>
    <w:p w:rsidR="00D66945" w:rsidRPr="007828C4" w:rsidRDefault="00D66945" w:rsidP="00D66945">
      <w:pPr>
        <w:ind w:left="567" w:hanging="567"/>
        <w:rPr>
          <w:rFonts w:eastAsia="Arial Unicode MS" w:cs="Arial"/>
          <w:b/>
          <w:sz w:val="32"/>
          <w:szCs w:val="22"/>
        </w:rPr>
      </w:pPr>
      <w:r w:rsidRPr="007828C4">
        <w:rPr>
          <w:rFonts w:eastAsia="Arial Unicode MS" w:cs="Arial"/>
          <w:b/>
          <w:sz w:val="32"/>
          <w:szCs w:val="22"/>
        </w:rPr>
        <w:t xml:space="preserve">3.3 </w:t>
      </w:r>
      <w:r w:rsidRPr="007828C4">
        <w:rPr>
          <w:rFonts w:eastAsia="Arial Unicode MS" w:cs="Arial"/>
          <w:b/>
          <w:sz w:val="32"/>
          <w:szCs w:val="22"/>
        </w:rPr>
        <w:tab/>
        <w:t>Net assets statement</w:t>
      </w:r>
    </w:p>
    <w:p w:rsidR="00D66945" w:rsidRPr="007828C4" w:rsidRDefault="00D66945" w:rsidP="00D66945">
      <w:pPr>
        <w:rPr>
          <w:rFonts w:eastAsia="Arial Unicode MS" w:cs="Arial"/>
          <w:b/>
          <w:szCs w:val="22"/>
        </w:rPr>
      </w:pPr>
    </w:p>
    <w:p w:rsidR="00D66945" w:rsidRPr="007828C4" w:rsidRDefault="00D66945" w:rsidP="00D66945">
      <w:pPr>
        <w:ind w:left="567" w:hanging="567"/>
        <w:rPr>
          <w:rFonts w:eastAsia="Arial Unicode MS" w:cs="Arial"/>
          <w:b/>
          <w:sz w:val="32"/>
          <w:szCs w:val="22"/>
        </w:rPr>
      </w:pPr>
      <w:r w:rsidRPr="007828C4">
        <w:rPr>
          <w:rFonts w:eastAsia="Arial Unicode MS" w:cs="Arial"/>
          <w:b/>
          <w:sz w:val="32"/>
          <w:szCs w:val="22"/>
        </w:rPr>
        <w:t xml:space="preserve">3.3.1 Financial assets </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Financial assets are included in the net assets statement on a fair value basis as at the reporting date.  A financial asset is recognised in the net assets statement on the date the Fund becomes party to the contractual acquisition of the asset.  From this date any gains or losses arising from changes in the fair value of the asset are recognised in the fund account.</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 xml:space="preserve">The values of investments as shown in the net assets statement have been determined at fair value in accordance with the requirements of the code and IFRS13.  For the purpose of disclosing levels of fair value hierarchy, the Fund has adopted the classification guidelines recommended in </w:t>
      </w:r>
      <w:r w:rsidRPr="007828C4">
        <w:rPr>
          <w:rFonts w:eastAsia="Arial Unicode MS" w:cs="Arial"/>
          <w:i/>
          <w:sz w:val="22"/>
          <w:szCs w:val="22"/>
        </w:rPr>
        <w:t xml:space="preserve">Practical Guidance on Investment Disclosures </w:t>
      </w:r>
      <w:r w:rsidRPr="007828C4">
        <w:rPr>
          <w:rFonts w:eastAsia="Arial Unicode MS" w:cs="Arial"/>
          <w:sz w:val="22"/>
          <w:szCs w:val="22"/>
        </w:rPr>
        <w:t>(PRAG/Investment Association, 2016).</w:t>
      </w:r>
    </w:p>
    <w:p w:rsidR="00D66945" w:rsidRPr="007828C4" w:rsidRDefault="00D66945" w:rsidP="00D66945">
      <w:pPr>
        <w:tabs>
          <w:tab w:val="left" w:pos="993"/>
          <w:tab w:val="left" w:pos="1134"/>
        </w:tabs>
        <w:ind w:left="567"/>
        <w:rPr>
          <w:rFonts w:eastAsia="Arial Unicode MS" w:cs="Arial"/>
          <w:sz w:val="22"/>
          <w:szCs w:val="22"/>
        </w:rPr>
      </w:pPr>
    </w:p>
    <w:p w:rsidR="00D66945" w:rsidRPr="007828C4" w:rsidRDefault="00D66945" w:rsidP="00D66945">
      <w:pPr>
        <w:tabs>
          <w:tab w:val="left" w:pos="927"/>
        </w:tabs>
        <w:ind w:left="567" w:hanging="567"/>
        <w:contextualSpacing/>
        <w:rPr>
          <w:rFonts w:eastAsia="Arial Unicode MS" w:cs="Arial"/>
          <w:b/>
          <w:sz w:val="32"/>
          <w:szCs w:val="22"/>
        </w:rPr>
      </w:pPr>
      <w:r w:rsidRPr="007828C4">
        <w:rPr>
          <w:rFonts w:eastAsia="Arial Unicode MS" w:cs="Arial"/>
          <w:b/>
          <w:sz w:val="32"/>
          <w:szCs w:val="22"/>
        </w:rPr>
        <w:t>3.3.2 Freehold and leasehold properties</w:t>
      </w:r>
    </w:p>
    <w:p w:rsidR="00D66945" w:rsidRPr="007828C4" w:rsidRDefault="00D66945" w:rsidP="00D66945">
      <w:pPr>
        <w:tabs>
          <w:tab w:val="left" w:pos="709"/>
          <w:tab w:val="left" w:pos="1134"/>
        </w:tabs>
        <w:ind w:left="567"/>
        <w:contextualSpacing/>
        <w:rPr>
          <w:rFonts w:eastAsia="Arial Unicode MS" w:cs="Arial"/>
          <w:sz w:val="22"/>
          <w:szCs w:val="22"/>
        </w:rPr>
      </w:pPr>
    </w:p>
    <w:p w:rsidR="00D66945" w:rsidRPr="007828C4" w:rsidRDefault="00D66945" w:rsidP="00D66945">
      <w:pPr>
        <w:tabs>
          <w:tab w:val="left" w:pos="1134"/>
        </w:tabs>
        <w:contextualSpacing/>
        <w:rPr>
          <w:rFonts w:eastAsia="Arial Unicode MS" w:cs="Arial"/>
          <w:sz w:val="22"/>
          <w:szCs w:val="22"/>
        </w:rPr>
      </w:pPr>
      <w:r w:rsidRPr="007828C4">
        <w:rPr>
          <w:rFonts w:eastAsia="Arial Unicode MS" w:cs="Arial"/>
          <w:sz w:val="22"/>
          <w:szCs w:val="22"/>
        </w:rPr>
        <w:t>The properties were valued at open market value at 31 March 201</w:t>
      </w:r>
      <w:r>
        <w:rPr>
          <w:rFonts w:eastAsia="Arial Unicode MS" w:cs="Arial"/>
          <w:sz w:val="22"/>
          <w:szCs w:val="22"/>
        </w:rPr>
        <w:t>8</w:t>
      </w:r>
      <w:r w:rsidRPr="007828C4">
        <w:rPr>
          <w:rFonts w:eastAsia="Arial Unicode MS" w:cs="Arial"/>
          <w:sz w:val="22"/>
          <w:szCs w:val="22"/>
        </w:rPr>
        <w:t xml:space="preserve"> by independent property valuers </w:t>
      </w:r>
      <w:r>
        <w:rPr>
          <w:rFonts w:eastAsia="Arial Unicode MS" w:cs="Arial"/>
          <w:sz w:val="22"/>
          <w:szCs w:val="22"/>
        </w:rPr>
        <w:t>Bilfinger GVA</w:t>
      </w:r>
      <w:r w:rsidRPr="007828C4">
        <w:rPr>
          <w:rFonts w:eastAsia="Arial Unicode MS" w:cs="Arial"/>
          <w:sz w:val="22"/>
          <w:szCs w:val="22"/>
        </w:rPr>
        <w:t xml:space="preserve"> in accordance with the Royal Institute of Chartered Surveyors' Valuation Standards (9</w:t>
      </w:r>
      <w:r w:rsidRPr="007828C4">
        <w:rPr>
          <w:rFonts w:eastAsia="Arial Unicode MS" w:cs="Arial"/>
          <w:sz w:val="22"/>
          <w:szCs w:val="22"/>
          <w:vertAlign w:val="superscript"/>
        </w:rPr>
        <w:t>th</w:t>
      </w:r>
      <w:r w:rsidRPr="007828C4">
        <w:rPr>
          <w:rFonts w:eastAsia="Arial Unicode MS" w:cs="Arial"/>
          <w:sz w:val="22"/>
          <w:szCs w:val="22"/>
        </w:rPr>
        <w:t xml:space="preserve"> Edition).  The valuer's opinion of market value and existing use value was primarily derived using comparable recent market transactions on arms-length terms.</w:t>
      </w:r>
    </w:p>
    <w:p w:rsidR="00D66945" w:rsidRPr="007828C4" w:rsidRDefault="00D66945" w:rsidP="00D66945">
      <w:pPr>
        <w:tabs>
          <w:tab w:val="left" w:pos="1134"/>
        </w:tabs>
        <w:ind w:left="567"/>
        <w:contextualSpacing/>
        <w:rPr>
          <w:rFonts w:eastAsia="Arial Unicode MS" w:cs="Arial"/>
          <w:sz w:val="22"/>
          <w:szCs w:val="22"/>
        </w:rPr>
      </w:pPr>
    </w:p>
    <w:p w:rsidR="00D66945" w:rsidRPr="007828C4" w:rsidRDefault="00D66945" w:rsidP="00D66945">
      <w:pPr>
        <w:tabs>
          <w:tab w:val="left" w:pos="927"/>
        </w:tabs>
        <w:ind w:left="567" w:hanging="567"/>
        <w:contextualSpacing/>
        <w:rPr>
          <w:rFonts w:eastAsia="Arial Unicode MS" w:cs="Arial"/>
          <w:b/>
          <w:sz w:val="32"/>
          <w:szCs w:val="22"/>
        </w:rPr>
      </w:pPr>
      <w:r w:rsidRPr="007828C4">
        <w:rPr>
          <w:rFonts w:eastAsia="Arial Unicode MS" w:cs="Arial"/>
          <w:b/>
          <w:sz w:val="32"/>
          <w:szCs w:val="22"/>
        </w:rPr>
        <w:t>3.3.3 Foreign currency transactions</w:t>
      </w:r>
    </w:p>
    <w:p w:rsidR="00D66945" w:rsidRPr="007828C4" w:rsidRDefault="00D66945" w:rsidP="00D66945">
      <w:pPr>
        <w:tabs>
          <w:tab w:val="left" w:pos="567"/>
        </w:tabs>
        <w:ind w:left="567"/>
        <w:rPr>
          <w:rFonts w:eastAsia="Arial Unicode MS" w:cs="Arial"/>
          <w:b/>
          <w:sz w:val="22"/>
          <w:szCs w:val="22"/>
        </w:rPr>
      </w:pPr>
    </w:p>
    <w:p w:rsidR="00D66945" w:rsidRDefault="00D66945" w:rsidP="00D66945">
      <w:pPr>
        <w:tabs>
          <w:tab w:val="left" w:pos="567"/>
        </w:tabs>
        <w:rPr>
          <w:rFonts w:eastAsia="Arial Unicode MS" w:cs="Arial"/>
          <w:sz w:val="22"/>
          <w:szCs w:val="22"/>
        </w:rPr>
      </w:pPr>
      <w:r w:rsidRPr="007828C4">
        <w:rPr>
          <w:rFonts w:eastAsia="Arial Unicode MS" w:cs="Arial"/>
          <w:sz w:val="22"/>
          <w:szCs w:val="22"/>
        </w:rPr>
        <w:t>Dividends, interest and purchases and sales of investments in foreign currencies have been accounted for at the spot market rates at the date of transaction.  End-of-year spot market exchange rates are used to value cash balances held in foreign currency bank accounts, market values of overseas investments and purchases and sales outstanding at the end of the reporting period.  Any gains or losses are treated as part of a change in market value of investments.</w:t>
      </w:r>
    </w:p>
    <w:p w:rsidR="00D66945" w:rsidRDefault="00D66945" w:rsidP="00D66945">
      <w:pPr>
        <w:tabs>
          <w:tab w:val="left" w:pos="567"/>
        </w:tabs>
        <w:rPr>
          <w:rFonts w:eastAsia="Arial Unicode MS" w:cs="Arial"/>
          <w:sz w:val="22"/>
          <w:szCs w:val="22"/>
        </w:rPr>
      </w:pPr>
    </w:p>
    <w:p w:rsidR="00D66945" w:rsidRPr="007828C4" w:rsidRDefault="00D66945" w:rsidP="00D66945">
      <w:pPr>
        <w:ind w:left="567" w:hanging="567"/>
        <w:rPr>
          <w:rFonts w:eastAsia="Arial Unicode MS" w:cs="Arial"/>
          <w:b/>
          <w:sz w:val="22"/>
          <w:szCs w:val="22"/>
        </w:rPr>
      </w:pPr>
    </w:p>
    <w:p w:rsidR="00D66945" w:rsidRPr="007828C4" w:rsidRDefault="00D66945" w:rsidP="00957C31">
      <w:pPr>
        <w:tabs>
          <w:tab w:val="left" w:pos="927"/>
        </w:tabs>
        <w:ind w:left="567" w:hanging="567"/>
        <w:contextualSpacing/>
        <w:rPr>
          <w:rFonts w:eastAsia="Arial Unicode MS" w:cs="Arial"/>
          <w:b/>
          <w:sz w:val="22"/>
          <w:szCs w:val="22"/>
        </w:rPr>
      </w:pPr>
      <w:r w:rsidRPr="007828C4">
        <w:rPr>
          <w:rFonts w:eastAsia="Arial Unicode MS" w:cs="Arial"/>
          <w:b/>
          <w:sz w:val="32"/>
          <w:szCs w:val="22"/>
        </w:rPr>
        <w:t>3.3.</w:t>
      </w:r>
      <w:r>
        <w:rPr>
          <w:rFonts w:eastAsia="Arial Unicode MS" w:cs="Arial"/>
          <w:b/>
          <w:sz w:val="32"/>
          <w:szCs w:val="22"/>
        </w:rPr>
        <w:t>4</w:t>
      </w:r>
      <w:r w:rsidRPr="007828C4">
        <w:rPr>
          <w:rFonts w:eastAsia="Arial Unicode MS" w:cs="Arial"/>
          <w:b/>
          <w:sz w:val="32"/>
          <w:szCs w:val="22"/>
        </w:rPr>
        <w:t xml:space="preserve"> Loans and receivables</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Loans and receivables are non-derivative financial assets with fixed or determinable payments that are not quoted in an active market.</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The Fund's loans and receivables comprise of trade and other receivables and cash deposits.</w:t>
      </w:r>
    </w:p>
    <w:p w:rsidR="00D66945" w:rsidRPr="007828C4" w:rsidRDefault="00D66945" w:rsidP="00D66945">
      <w:pPr>
        <w:tabs>
          <w:tab w:val="left" w:pos="567"/>
        </w:tabs>
        <w:ind w:left="567"/>
        <w:rPr>
          <w:rFonts w:eastAsia="Arial Unicode MS" w:cs="Arial"/>
          <w:sz w:val="22"/>
          <w:szCs w:val="22"/>
        </w:rPr>
      </w:pPr>
    </w:p>
    <w:p w:rsidR="00D66945" w:rsidRPr="007828C4" w:rsidRDefault="00D66945" w:rsidP="00957C31">
      <w:pPr>
        <w:tabs>
          <w:tab w:val="left" w:pos="927"/>
        </w:tabs>
        <w:ind w:left="567" w:hanging="567"/>
        <w:contextualSpacing/>
        <w:rPr>
          <w:rFonts w:eastAsia="Arial Unicode MS" w:cs="Arial"/>
          <w:b/>
          <w:sz w:val="22"/>
          <w:szCs w:val="22"/>
        </w:rPr>
      </w:pPr>
      <w:r w:rsidRPr="007828C4">
        <w:rPr>
          <w:rFonts w:eastAsia="Arial Unicode MS" w:cs="Arial"/>
          <w:b/>
          <w:sz w:val="32"/>
          <w:szCs w:val="22"/>
        </w:rPr>
        <w:t>3.3.</w:t>
      </w:r>
      <w:r>
        <w:rPr>
          <w:rFonts w:eastAsia="Arial Unicode MS" w:cs="Arial"/>
          <w:b/>
          <w:sz w:val="32"/>
          <w:szCs w:val="22"/>
        </w:rPr>
        <w:t>5</w:t>
      </w:r>
      <w:r w:rsidRPr="007828C4">
        <w:rPr>
          <w:rFonts w:eastAsia="Arial Unicode MS" w:cs="Arial"/>
          <w:b/>
          <w:sz w:val="32"/>
          <w:szCs w:val="22"/>
        </w:rPr>
        <w:t xml:space="preserve"> Cash and cash equivalents</w:t>
      </w:r>
    </w:p>
    <w:p w:rsidR="00D66945" w:rsidRPr="007828C4" w:rsidRDefault="00D66945" w:rsidP="00DE18D2">
      <w:pPr>
        <w:tabs>
          <w:tab w:val="left" w:pos="567"/>
        </w:tabs>
        <w:rPr>
          <w:rFonts w:eastAsia="Arial Unicode MS" w:cs="Arial"/>
          <w:sz w:val="22"/>
          <w:szCs w:val="22"/>
        </w:rPr>
      </w:pPr>
      <w:r w:rsidRPr="007828C4">
        <w:rPr>
          <w:rFonts w:eastAsia="Arial Unicode MS" w:cs="Arial"/>
          <w:sz w:val="22"/>
          <w:szCs w:val="22"/>
        </w:rPr>
        <w:t>Cash comprises of cash in hand and on demand deposits and includes amounts held by the Fund's external managers.</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Cash equivalents are short-term, highly liquid investments that are readily convertible to known amounts of cash and that are subject to minimal risk of changes in value.</w:t>
      </w:r>
    </w:p>
    <w:p w:rsidR="00D66945" w:rsidRPr="007828C4" w:rsidRDefault="00D66945" w:rsidP="00D66945">
      <w:pPr>
        <w:tabs>
          <w:tab w:val="left" w:pos="567"/>
        </w:tabs>
        <w:rPr>
          <w:rFonts w:eastAsia="Arial Unicode MS" w:cs="Arial"/>
          <w:sz w:val="22"/>
          <w:szCs w:val="22"/>
        </w:rPr>
      </w:pPr>
    </w:p>
    <w:p w:rsidR="00D66945" w:rsidRPr="007828C4" w:rsidRDefault="00D66945" w:rsidP="00957C31">
      <w:pPr>
        <w:tabs>
          <w:tab w:val="left" w:pos="927"/>
        </w:tabs>
        <w:ind w:left="567" w:hanging="567"/>
        <w:contextualSpacing/>
        <w:rPr>
          <w:rFonts w:eastAsia="Arial Unicode MS" w:cs="Arial"/>
          <w:b/>
          <w:sz w:val="22"/>
          <w:szCs w:val="22"/>
        </w:rPr>
      </w:pPr>
      <w:r w:rsidRPr="007828C4">
        <w:rPr>
          <w:rFonts w:eastAsia="Arial Unicode MS" w:cs="Arial"/>
          <w:b/>
          <w:sz w:val="32"/>
          <w:szCs w:val="22"/>
        </w:rPr>
        <w:t>3.3.</w:t>
      </w:r>
      <w:r>
        <w:rPr>
          <w:rFonts w:eastAsia="Arial Unicode MS" w:cs="Arial"/>
          <w:b/>
          <w:sz w:val="32"/>
          <w:szCs w:val="22"/>
        </w:rPr>
        <w:t>6</w:t>
      </w:r>
      <w:r w:rsidRPr="007828C4">
        <w:rPr>
          <w:rFonts w:eastAsia="Arial Unicode MS" w:cs="Arial"/>
          <w:b/>
          <w:sz w:val="32"/>
          <w:szCs w:val="22"/>
        </w:rPr>
        <w:t xml:space="preserve"> Financial liabilities</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The Fund recognises financial liabilities at fair value at the reporting date. A financial liability is recognised in the net assets statement on the date the Fund becomes party to a liability.  From this date any gains or losses arising from changes in the fair value of the liability are recognised by the Fund.</w:t>
      </w:r>
    </w:p>
    <w:p w:rsidR="00D66945" w:rsidRPr="007828C4" w:rsidRDefault="00D66945" w:rsidP="00D66945">
      <w:pPr>
        <w:tabs>
          <w:tab w:val="left" w:pos="567"/>
        </w:tabs>
        <w:ind w:left="567"/>
        <w:rPr>
          <w:rFonts w:eastAsia="Arial Unicode MS" w:cs="Arial"/>
          <w:sz w:val="22"/>
          <w:szCs w:val="22"/>
        </w:rPr>
      </w:pPr>
    </w:p>
    <w:p w:rsidR="00D66945" w:rsidRPr="007828C4" w:rsidRDefault="00D66945" w:rsidP="00957C31">
      <w:pPr>
        <w:tabs>
          <w:tab w:val="left" w:pos="927"/>
        </w:tabs>
        <w:ind w:left="567" w:hanging="567"/>
        <w:contextualSpacing/>
        <w:rPr>
          <w:rFonts w:eastAsia="Arial Unicode MS" w:cs="Arial"/>
          <w:b/>
          <w:sz w:val="22"/>
          <w:szCs w:val="22"/>
        </w:rPr>
      </w:pPr>
      <w:r w:rsidRPr="007828C4">
        <w:rPr>
          <w:rFonts w:eastAsia="Arial Unicode MS" w:cs="Arial"/>
          <w:b/>
          <w:sz w:val="32"/>
          <w:szCs w:val="22"/>
        </w:rPr>
        <w:t>3.3.</w:t>
      </w:r>
      <w:r>
        <w:rPr>
          <w:rFonts w:eastAsia="Arial Unicode MS" w:cs="Arial"/>
          <w:b/>
          <w:sz w:val="32"/>
          <w:szCs w:val="22"/>
        </w:rPr>
        <w:t>7</w:t>
      </w:r>
      <w:r w:rsidRPr="007828C4">
        <w:rPr>
          <w:rFonts w:eastAsia="Arial Unicode MS" w:cs="Arial"/>
          <w:b/>
          <w:sz w:val="32"/>
          <w:szCs w:val="22"/>
        </w:rPr>
        <w:t xml:space="preserve"> Actuarial present value of promised retirement benefits</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The actuarial present value of promised retirement benefits is assessed on a triennial basis by the scheme actuary in accordance with the requirements of IAS19 and relevant actuarial standards.</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As permitted under the Code, the Fund has opted to disclose the actuarial present value of promised retirement benefits by way of a note to the net assets statement (note 2</w:t>
      </w:r>
      <w:r>
        <w:rPr>
          <w:rFonts w:eastAsia="Arial Unicode MS" w:cs="Arial"/>
          <w:sz w:val="22"/>
          <w:szCs w:val="22"/>
        </w:rPr>
        <w:t>5</w:t>
      </w:r>
      <w:r w:rsidRPr="007828C4">
        <w:rPr>
          <w:rFonts w:eastAsia="Arial Unicode MS" w:cs="Arial"/>
          <w:sz w:val="22"/>
          <w:szCs w:val="22"/>
        </w:rPr>
        <w:t>).</w:t>
      </w:r>
    </w:p>
    <w:p w:rsidR="00D66945" w:rsidRPr="007828C4" w:rsidRDefault="00D66945" w:rsidP="00D66945">
      <w:pPr>
        <w:tabs>
          <w:tab w:val="left" w:pos="567"/>
        </w:tabs>
        <w:rPr>
          <w:rFonts w:eastAsia="Arial Unicode MS" w:cs="Arial"/>
          <w:sz w:val="22"/>
          <w:szCs w:val="22"/>
        </w:rPr>
      </w:pPr>
    </w:p>
    <w:p w:rsidR="00D66945" w:rsidRPr="007828C4" w:rsidRDefault="00D66945" w:rsidP="00957C31">
      <w:pPr>
        <w:tabs>
          <w:tab w:val="left" w:pos="927"/>
        </w:tabs>
        <w:ind w:left="567" w:hanging="567"/>
        <w:contextualSpacing/>
        <w:rPr>
          <w:rFonts w:eastAsia="Arial Unicode MS" w:cs="Arial"/>
          <w:b/>
          <w:sz w:val="28"/>
          <w:szCs w:val="22"/>
        </w:rPr>
      </w:pPr>
      <w:r w:rsidRPr="007828C4">
        <w:rPr>
          <w:rFonts w:eastAsia="Arial Unicode MS" w:cs="Arial"/>
          <w:b/>
          <w:sz w:val="32"/>
          <w:szCs w:val="22"/>
        </w:rPr>
        <w:t>3.3.</w:t>
      </w:r>
      <w:r>
        <w:rPr>
          <w:rFonts w:eastAsia="Arial Unicode MS" w:cs="Arial"/>
          <w:b/>
          <w:sz w:val="32"/>
          <w:szCs w:val="22"/>
        </w:rPr>
        <w:t>8</w:t>
      </w:r>
      <w:r w:rsidRPr="007828C4">
        <w:rPr>
          <w:rFonts w:eastAsia="Arial Unicode MS" w:cs="Arial"/>
          <w:b/>
          <w:sz w:val="32"/>
          <w:szCs w:val="22"/>
        </w:rPr>
        <w:t xml:space="preserve"> Additional voluntary contributions</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Lancashire County Pension Fund provides an additional voluntary contributions (AVC) scheme for its members, the assets of which are invested separately from those of the Pension Fund.  The AVC providers to the Pension Fund are Equitable Life and Prudential.  AVCs are paid to the AVC provider by employers and are specifically for providing additional benefits for individual contributors.  Each AVC contributor receives an annual statement showing the amount held in their account and the movements in the year.</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 xml:space="preserve">AVCs are not included in the Pension Fund accounts in accordance with section 4(1) (b) of the Local Government Pension Scheme (Management and Investment of Funds) Regulations 2016 but are disclosed as a note only (note </w:t>
      </w:r>
      <w:r>
        <w:rPr>
          <w:rFonts w:eastAsia="Arial Unicode MS" w:cs="Arial"/>
          <w:sz w:val="22"/>
          <w:szCs w:val="22"/>
        </w:rPr>
        <w:t>18</w:t>
      </w:r>
      <w:r w:rsidRPr="007828C4">
        <w:rPr>
          <w:rFonts w:eastAsia="Arial Unicode MS" w:cs="Arial"/>
          <w:sz w:val="22"/>
          <w:szCs w:val="22"/>
        </w:rPr>
        <w:t>).</w:t>
      </w:r>
    </w:p>
    <w:p w:rsidR="00D66945" w:rsidRPr="007828C4" w:rsidRDefault="00D66945" w:rsidP="00D66945">
      <w:pPr>
        <w:tabs>
          <w:tab w:val="left" w:pos="567"/>
        </w:tabs>
        <w:rPr>
          <w:rFonts w:eastAsia="Arial Unicode MS" w:cs="Arial"/>
          <w:sz w:val="22"/>
          <w:szCs w:val="22"/>
        </w:rPr>
      </w:pPr>
    </w:p>
    <w:p w:rsidR="00D66945" w:rsidRPr="007828C4" w:rsidRDefault="00D66945" w:rsidP="00D66945">
      <w:pPr>
        <w:tabs>
          <w:tab w:val="left" w:pos="567"/>
        </w:tabs>
        <w:ind w:left="567"/>
        <w:rPr>
          <w:rFonts w:eastAsia="Arial Unicode MS" w:cs="Arial"/>
          <w:sz w:val="22"/>
          <w:szCs w:val="22"/>
        </w:rPr>
      </w:pPr>
    </w:p>
    <w:p w:rsidR="00D66945" w:rsidRPr="007828C4" w:rsidRDefault="00D66945" w:rsidP="00D66945">
      <w:pPr>
        <w:pStyle w:val="ListParagraph"/>
        <w:numPr>
          <w:ilvl w:val="0"/>
          <w:numId w:val="5"/>
        </w:numPr>
        <w:tabs>
          <w:tab w:val="left" w:pos="927"/>
        </w:tabs>
        <w:autoSpaceDE/>
        <w:autoSpaceDN/>
        <w:adjustRightInd/>
        <w:spacing w:after="0"/>
        <w:jc w:val="left"/>
        <w:rPr>
          <w:rFonts w:eastAsia="Arial Unicode MS" w:cs="Arial"/>
          <w:b/>
          <w:sz w:val="32"/>
          <w:szCs w:val="22"/>
        </w:rPr>
      </w:pPr>
      <w:r w:rsidRPr="007828C4">
        <w:rPr>
          <w:rFonts w:eastAsia="Arial Unicode MS" w:cs="Arial"/>
          <w:b/>
          <w:sz w:val="32"/>
          <w:szCs w:val="22"/>
        </w:rPr>
        <w:t>CRITICAL JUDGEMENTS IN APPLYING ACCOUNTING POLICIES</w:t>
      </w:r>
    </w:p>
    <w:p w:rsidR="00D66945" w:rsidRPr="007828C4" w:rsidRDefault="00D66945" w:rsidP="00D66945">
      <w:pPr>
        <w:tabs>
          <w:tab w:val="left" w:pos="927"/>
        </w:tabs>
        <w:ind w:left="567" w:hanging="567"/>
        <w:contextualSpacing/>
        <w:rPr>
          <w:rFonts w:eastAsia="Arial Unicode MS" w:cs="Arial"/>
          <w:b/>
          <w:sz w:val="32"/>
          <w:szCs w:val="22"/>
        </w:rPr>
      </w:pPr>
    </w:p>
    <w:p w:rsidR="00D66945" w:rsidRPr="007828C4" w:rsidRDefault="00D66945" w:rsidP="00D66945">
      <w:pPr>
        <w:tabs>
          <w:tab w:val="left" w:pos="927"/>
        </w:tabs>
        <w:ind w:left="567" w:hanging="567"/>
        <w:contextualSpacing/>
        <w:rPr>
          <w:rFonts w:eastAsia="Arial Unicode MS" w:cs="Arial"/>
          <w:b/>
          <w:sz w:val="32"/>
          <w:szCs w:val="22"/>
        </w:rPr>
      </w:pPr>
      <w:r w:rsidRPr="007828C4">
        <w:rPr>
          <w:rFonts w:eastAsia="Arial Unicode MS" w:cs="Arial"/>
          <w:b/>
          <w:sz w:val="32"/>
          <w:szCs w:val="22"/>
        </w:rPr>
        <w:t>4.1 Unquoted private equity and infrastructure investments</w:t>
      </w:r>
    </w:p>
    <w:p w:rsidR="00D66945" w:rsidRDefault="00D66945" w:rsidP="00D66945">
      <w:pPr>
        <w:tabs>
          <w:tab w:val="left" w:pos="567"/>
        </w:tabs>
        <w:rPr>
          <w:rFonts w:eastAsia="Arial Unicode MS" w:cs="Arial"/>
          <w:sz w:val="22"/>
          <w:szCs w:val="22"/>
        </w:rPr>
      </w:pPr>
      <w:r w:rsidRPr="007828C4">
        <w:rPr>
          <w:rFonts w:eastAsia="Arial Unicode MS" w:cs="Arial"/>
          <w:sz w:val="22"/>
          <w:szCs w:val="22"/>
        </w:rPr>
        <w:t xml:space="preserve">It is important to recognise the highly subjective nature of determining the fair value of private equity and infrastructure investments.  They are inherently based on forward looking estimates and </w:t>
      </w:r>
      <w:r>
        <w:rPr>
          <w:rFonts w:eastAsia="Arial Unicode MS" w:cs="Arial"/>
          <w:sz w:val="22"/>
          <w:szCs w:val="22"/>
        </w:rPr>
        <w:t>it is necessary to apply judgement to the valuation</w:t>
      </w:r>
      <w:r w:rsidRPr="007828C4">
        <w:rPr>
          <w:rFonts w:eastAsia="Arial Unicode MS" w:cs="Arial"/>
          <w:sz w:val="22"/>
          <w:szCs w:val="22"/>
        </w:rPr>
        <w:t>.  Unquoted private equities and infrastructure investments are valued by the investment managers using the International Private Equity and Venture Capital Valuation Guidelines 2012.</w:t>
      </w:r>
    </w:p>
    <w:p w:rsidR="00DE18D2" w:rsidRPr="007828C4" w:rsidRDefault="00DE18D2" w:rsidP="00D66945">
      <w:pPr>
        <w:tabs>
          <w:tab w:val="left" w:pos="567"/>
        </w:tabs>
        <w:rPr>
          <w:rFonts w:eastAsia="Arial Unicode MS" w:cs="Arial"/>
          <w:sz w:val="22"/>
          <w:szCs w:val="22"/>
        </w:rPr>
      </w:pPr>
    </w:p>
    <w:p w:rsidR="00D66945" w:rsidRPr="007828C4" w:rsidRDefault="00D66945" w:rsidP="00D66945">
      <w:pPr>
        <w:tabs>
          <w:tab w:val="left" w:pos="567"/>
        </w:tabs>
        <w:ind w:left="567" w:hanging="567"/>
        <w:rPr>
          <w:rFonts w:eastAsia="Arial Unicode MS" w:cs="Arial"/>
          <w:b/>
          <w:sz w:val="32"/>
          <w:szCs w:val="22"/>
        </w:rPr>
      </w:pPr>
      <w:r w:rsidRPr="007828C4">
        <w:rPr>
          <w:rFonts w:eastAsia="Arial Unicode MS" w:cs="Arial"/>
          <w:b/>
          <w:sz w:val="32"/>
          <w:szCs w:val="22"/>
        </w:rPr>
        <w:t>4.2   Pension Fund liability</w:t>
      </w:r>
    </w:p>
    <w:p w:rsidR="00D66945" w:rsidRPr="007828C4" w:rsidRDefault="00D66945" w:rsidP="00D66945">
      <w:pPr>
        <w:tabs>
          <w:tab w:val="left" w:pos="567"/>
        </w:tabs>
        <w:rPr>
          <w:rFonts w:eastAsia="Arial Unicode MS" w:cs="Arial"/>
          <w:sz w:val="22"/>
          <w:szCs w:val="22"/>
        </w:rPr>
      </w:pPr>
      <w:r w:rsidRPr="007828C4">
        <w:rPr>
          <w:rFonts w:eastAsia="Arial Unicode MS" w:cs="Arial"/>
          <w:sz w:val="22"/>
          <w:szCs w:val="22"/>
        </w:rPr>
        <w:t>The Pension Fund liability is calculated every three years by the appointed actuary, with annual updates in the intervening years.  The methodology used is in line with accepted guidelines and in accordance with IAS19.  Assumptions underpinning the valuations are agreed with the actuary and are summarised in note 2</w:t>
      </w:r>
      <w:r>
        <w:rPr>
          <w:rFonts w:eastAsia="Arial Unicode MS" w:cs="Arial"/>
          <w:sz w:val="22"/>
          <w:szCs w:val="22"/>
        </w:rPr>
        <w:t>5</w:t>
      </w:r>
      <w:r w:rsidRPr="007828C4">
        <w:rPr>
          <w:rFonts w:eastAsia="Arial Unicode MS" w:cs="Arial"/>
          <w:sz w:val="22"/>
          <w:szCs w:val="22"/>
        </w:rPr>
        <w:t>.  This estimate is subject to significant variances based on changes to the underlying assumptions.</w:t>
      </w:r>
    </w:p>
    <w:p w:rsidR="00D66945" w:rsidRPr="007828C4" w:rsidRDefault="00D66945" w:rsidP="00D66945">
      <w:pPr>
        <w:rPr>
          <w:rFonts w:eastAsia="Arial Unicode MS" w:cs="Arial"/>
          <w:sz w:val="22"/>
          <w:szCs w:val="22"/>
          <w:lang w:eastAsia="en-GB"/>
        </w:rPr>
      </w:pPr>
    </w:p>
    <w:p w:rsidR="00D66945" w:rsidRPr="007828C4" w:rsidRDefault="00D66945" w:rsidP="00D66945">
      <w:pPr>
        <w:numPr>
          <w:ilvl w:val="0"/>
          <w:numId w:val="6"/>
        </w:numPr>
        <w:tabs>
          <w:tab w:val="num" w:pos="567"/>
        </w:tabs>
        <w:spacing w:after="0"/>
        <w:ind w:left="567" w:hanging="567"/>
        <w:jc w:val="left"/>
        <w:rPr>
          <w:rFonts w:eastAsia="Arial Unicode MS" w:cs="Arial"/>
          <w:b/>
          <w:sz w:val="32"/>
          <w:szCs w:val="22"/>
        </w:rPr>
      </w:pPr>
      <w:r w:rsidRPr="007828C4">
        <w:rPr>
          <w:rFonts w:eastAsia="Arial Unicode MS" w:cs="Arial"/>
          <w:b/>
          <w:sz w:val="32"/>
          <w:szCs w:val="22"/>
        </w:rPr>
        <w:t>ASSUMPTIONS MADE ABOUT THE FUTURE AND OTHER MAJOR SOURCES OF ESTIMATION UNCERTAINTY</w:t>
      </w:r>
    </w:p>
    <w:p w:rsidR="00D66945" w:rsidRPr="007828C4" w:rsidRDefault="00D66945" w:rsidP="00D66945">
      <w:pPr>
        <w:tabs>
          <w:tab w:val="left" w:pos="709"/>
        </w:tabs>
        <w:ind w:left="567"/>
        <w:rPr>
          <w:rFonts w:eastAsia="Arial Unicode MS" w:cs="Arial"/>
          <w:sz w:val="22"/>
          <w:szCs w:val="22"/>
        </w:rPr>
      </w:pP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The preparation of financial statements requires management to make judgements, estimates and assumptions that affect the amounts reported for assets and liabilities at the net assets statement date and the amounts reported for the revenues and expenses during the year. Estimates and assumptions are made taking into account historical experience, current trends and other relevant factors.  However, the nature of estimation means that actual outcomes could be materially different from the assumptions and estimates.</w:t>
      </w:r>
    </w:p>
    <w:p w:rsidR="00D66945" w:rsidRPr="007828C4" w:rsidRDefault="00D66945" w:rsidP="00DE18D2">
      <w:pPr>
        <w:tabs>
          <w:tab w:val="left" w:pos="851"/>
        </w:tabs>
        <w:rPr>
          <w:rFonts w:eastAsia="Arial Unicode MS" w:cs="Arial"/>
          <w:sz w:val="22"/>
          <w:szCs w:val="22"/>
        </w:rPr>
      </w:pPr>
      <w:r w:rsidRPr="007828C4">
        <w:rPr>
          <w:rFonts w:eastAsia="Arial Unicode MS" w:cs="Arial"/>
          <w:sz w:val="22"/>
          <w:szCs w:val="22"/>
        </w:rPr>
        <w:t xml:space="preserve">The items in the net assets statement at 31 March </w:t>
      </w:r>
      <w:r w:rsidR="00DE18D2" w:rsidRPr="007828C4">
        <w:rPr>
          <w:rFonts w:eastAsia="Arial Unicode MS" w:cs="Arial"/>
          <w:sz w:val="22"/>
          <w:szCs w:val="22"/>
        </w:rPr>
        <w:t>201</w:t>
      </w:r>
      <w:r w:rsidR="00DE18D2">
        <w:rPr>
          <w:rFonts w:eastAsia="Arial Unicode MS" w:cs="Arial"/>
          <w:sz w:val="22"/>
          <w:szCs w:val="22"/>
        </w:rPr>
        <w:t>8</w:t>
      </w:r>
      <w:r w:rsidR="00DE18D2" w:rsidRPr="007828C4">
        <w:rPr>
          <w:rFonts w:eastAsia="Arial Unicode MS" w:cs="Arial"/>
          <w:sz w:val="22"/>
          <w:szCs w:val="22"/>
        </w:rPr>
        <w:t xml:space="preserve"> </w:t>
      </w:r>
      <w:r w:rsidRPr="007828C4">
        <w:rPr>
          <w:rFonts w:eastAsia="Arial Unicode MS" w:cs="Arial"/>
          <w:sz w:val="22"/>
          <w:szCs w:val="22"/>
        </w:rPr>
        <w:t>for which there is a significant risk of material adjustment in the forthcoming year are as follows:</w:t>
      </w: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1843"/>
        <w:gridCol w:w="3898"/>
        <w:gridCol w:w="3898"/>
      </w:tblGrid>
      <w:tr w:rsidR="00D66945" w:rsidRPr="007828C4" w:rsidTr="00A33453">
        <w:tc>
          <w:tcPr>
            <w:tcW w:w="1843" w:type="dxa"/>
            <w:shd w:val="clear" w:color="auto" w:fill="E7E6E6" w:themeFill="background2"/>
          </w:tcPr>
          <w:p w:rsidR="00D66945" w:rsidRPr="007828C4" w:rsidRDefault="00D66945" w:rsidP="00A33453">
            <w:pPr>
              <w:rPr>
                <w:rFonts w:eastAsia="Arial Unicode MS" w:cs="Arial"/>
                <w:b/>
                <w:sz w:val="22"/>
                <w:szCs w:val="22"/>
              </w:rPr>
            </w:pPr>
            <w:r w:rsidRPr="007828C4">
              <w:rPr>
                <w:rFonts w:eastAsia="Arial Unicode MS" w:cs="Arial"/>
                <w:b/>
                <w:sz w:val="22"/>
                <w:szCs w:val="22"/>
              </w:rPr>
              <w:t>Item</w:t>
            </w:r>
          </w:p>
        </w:tc>
        <w:tc>
          <w:tcPr>
            <w:tcW w:w="3898" w:type="dxa"/>
            <w:shd w:val="clear" w:color="auto" w:fill="E7E6E6" w:themeFill="background2"/>
          </w:tcPr>
          <w:p w:rsidR="00D66945" w:rsidRPr="007828C4" w:rsidRDefault="00D66945" w:rsidP="00A33453">
            <w:pPr>
              <w:rPr>
                <w:rFonts w:eastAsia="Arial Unicode MS" w:cs="Arial"/>
                <w:b/>
                <w:sz w:val="22"/>
                <w:szCs w:val="22"/>
              </w:rPr>
            </w:pPr>
            <w:r w:rsidRPr="007828C4">
              <w:rPr>
                <w:rFonts w:eastAsia="Arial Unicode MS" w:cs="Arial"/>
                <w:b/>
                <w:sz w:val="22"/>
                <w:szCs w:val="22"/>
              </w:rPr>
              <w:t>Uncertainties</w:t>
            </w:r>
          </w:p>
        </w:tc>
        <w:tc>
          <w:tcPr>
            <w:tcW w:w="3898" w:type="dxa"/>
            <w:shd w:val="clear" w:color="auto" w:fill="E7E6E6" w:themeFill="background2"/>
          </w:tcPr>
          <w:p w:rsidR="00D66945" w:rsidRPr="007828C4" w:rsidRDefault="00D66945" w:rsidP="00A33453">
            <w:pPr>
              <w:rPr>
                <w:rFonts w:eastAsia="Arial Unicode MS" w:cs="Arial"/>
                <w:b/>
                <w:sz w:val="22"/>
                <w:szCs w:val="22"/>
              </w:rPr>
            </w:pPr>
            <w:r w:rsidRPr="007828C4">
              <w:rPr>
                <w:rFonts w:eastAsia="Arial Unicode MS" w:cs="Arial"/>
                <w:b/>
                <w:sz w:val="22"/>
                <w:szCs w:val="22"/>
              </w:rPr>
              <w:t>Impact if actual results differ from assumptions</w:t>
            </w:r>
          </w:p>
        </w:tc>
      </w:tr>
      <w:tr w:rsidR="00D66945" w:rsidRPr="007828C4" w:rsidTr="00A33453">
        <w:trPr>
          <w:trHeight w:val="1855"/>
        </w:trPr>
        <w:tc>
          <w:tcPr>
            <w:tcW w:w="1843"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Private equity and infrastructure investments</w:t>
            </w:r>
          </w:p>
          <w:p w:rsidR="00D66945" w:rsidRPr="007828C4" w:rsidRDefault="00D66945" w:rsidP="00A33453">
            <w:pPr>
              <w:rPr>
                <w:rFonts w:eastAsia="Arial Unicode MS" w:cs="Arial"/>
                <w:sz w:val="20"/>
                <w:szCs w:val="22"/>
              </w:rPr>
            </w:pPr>
          </w:p>
        </w:tc>
        <w:tc>
          <w:tcPr>
            <w:tcW w:w="3898"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Private equity and infrastructure investments are valued at fair value in accordance with the International Private Equity and Venture Capital Valuation Guidelines 2012 or equivalent. These investments are not publicly listed and as such there is a degree of estimation involved in the valuation.</w:t>
            </w:r>
          </w:p>
        </w:tc>
        <w:tc>
          <w:tcPr>
            <w:tcW w:w="3898"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 xml:space="preserve">The market value of private equity and infrastructure investments in the financial statements totals </w:t>
            </w:r>
            <w:r>
              <w:rPr>
                <w:rFonts w:eastAsia="Arial Unicode MS" w:cs="Arial"/>
                <w:sz w:val="20"/>
                <w:szCs w:val="22"/>
              </w:rPr>
              <w:t>£1,538.9</w:t>
            </w:r>
            <w:r w:rsidRPr="007828C4">
              <w:rPr>
                <w:rFonts w:eastAsia="Arial Unicode MS" w:cs="Arial"/>
                <w:sz w:val="20"/>
                <w:szCs w:val="22"/>
              </w:rPr>
              <w:t xml:space="preserve"> m.</w:t>
            </w:r>
          </w:p>
          <w:p w:rsidR="00D66945" w:rsidRPr="007828C4" w:rsidRDefault="00D66945" w:rsidP="00A33453">
            <w:pPr>
              <w:rPr>
                <w:rFonts w:eastAsia="Arial Unicode MS" w:cs="Arial"/>
                <w:sz w:val="20"/>
                <w:szCs w:val="22"/>
              </w:rPr>
            </w:pPr>
          </w:p>
          <w:p w:rsidR="00D66945" w:rsidRPr="007828C4" w:rsidRDefault="00D66945" w:rsidP="00A33453">
            <w:pPr>
              <w:rPr>
                <w:rFonts w:eastAsia="Arial Unicode MS" w:cs="Arial"/>
                <w:sz w:val="20"/>
                <w:szCs w:val="22"/>
              </w:rPr>
            </w:pPr>
            <w:r w:rsidRPr="007828C4">
              <w:rPr>
                <w:rFonts w:eastAsia="Arial Unicode MS" w:cs="Arial"/>
                <w:sz w:val="20"/>
                <w:szCs w:val="22"/>
              </w:rPr>
              <w:t>There is a risk that these investments might be under or overstated in the accounts.</w:t>
            </w:r>
          </w:p>
        </w:tc>
      </w:tr>
      <w:tr w:rsidR="00D66945" w:rsidRPr="007828C4" w:rsidTr="00A33453">
        <w:trPr>
          <w:trHeight w:val="1431"/>
        </w:trPr>
        <w:tc>
          <w:tcPr>
            <w:tcW w:w="1843"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Long-term credit investments</w:t>
            </w:r>
          </w:p>
        </w:tc>
        <w:tc>
          <w:tcPr>
            <w:tcW w:w="3898"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 xml:space="preserve">Long-term credit investments are valued as the Fund's percentage share of the independently audited Net Asset Value of each individual strategy as provided by the relevant manager.  In some cases the underlying investments will </w:t>
            </w:r>
            <w:r>
              <w:rPr>
                <w:rFonts w:eastAsia="Arial Unicode MS" w:cs="Arial"/>
                <w:sz w:val="20"/>
                <w:szCs w:val="22"/>
              </w:rPr>
              <w:t>be classified as level 3 investments, defined in note 16 as those investments for which valuation involves at least one input which is not based on observable market data.</w:t>
            </w:r>
          </w:p>
        </w:tc>
        <w:tc>
          <w:tcPr>
            <w:tcW w:w="3898"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 xml:space="preserve">The market value of long-term credit investments in the financial statements (excluding the </w:t>
            </w:r>
            <w:r>
              <w:rPr>
                <w:rFonts w:eastAsia="Arial Unicode MS" w:cs="Arial"/>
                <w:sz w:val="20"/>
                <w:szCs w:val="22"/>
              </w:rPr>
              <w:t>investment in</w:t>
            </w:r>
            <w:r w:rsidRPr="007828C4">
              <w:rPr>
                <w:rFonts w:eastAsia="Arial Unicode MS" w:cs="Arial"/>
                <w:sz w:val="20"/>
                <w:szCs w:val="22"/>
              </w:rPr>
              <w:t xml:space="preserve"> Heylo Housing listed separately below) totals </w:t>
            </w:r>
            <w:r>
              <w:rPr>
                <w:rFonts w:eastAsia="Arial Unicode MS" w:cs="Arial"/>
                <w:sz w:val="20"/>
                <w:szCs w:val="22"/>
              </w:rPr>
              <w:t>£1,364.0</w:t>
            </w:r>
            <w:r w:rsidRPr="007828C4">
              <w:rPr>
                <w:rFonts w:eastAsia="Arial Unicode MS" w:cs="Arial"/>
                <w:sz w:val="20"/>
                <w:szCs w:val="22"/>
              </w:rPr>
              <w:t xml:space="preserve">m.  </w:t>
            </w:r>
          </w:p>
          <w:p w:rsidR="00D66945" w:rsidRPr="007828C4" w:rsidRDefault="00D66945" w:rsidP="00A33453">
            <w:pPr>
              <w:rPr>
                <w:rFonts w:eastAsia="Arial Unicode MS" w:cs="Arial"/>
                <w:sz w:val="20"/>
                <w:szCs w:val="22"/>
              </w:rPr>
            </w:pPr>
          </w:p>
          <w:p w:rsidR="00D66945" w:rsidRPr="007828C4" w:rsidRDefault="00D66945" w:rsidP="00A33453">
            <w:pPr>
              <w:rPr>
                <w:rFonts w:eastAsia="Arial Unicode MS" w:cs="Arial"/>
                <w:sz w:val="20"/>
                <w:szCs w:val="22"/>
              </w:rPr>
            </w:pPr>
            <w:r w:rsidRPr="007828C4">
              <w:rPr>
                <w:rFonts w:eastAsia="Arial Unicode MS" w:cs="Arial"/>
                <w:sz w:val="20"/>
                <w:szCs w:val="22"/>
              </w:rPr>
              <w:t>There is a risk that these investments might be under or overstated in the accounts.</w:t>
            </w:r>
          </w:p>
        </w:tc>
      </w:tr>
      <w:tr w:rsidR="00D66945" w:rsidRPr="007828C4" w:rsidTr="00A33453">
        <w:trPr>
          <w:trHeight w:val="1431"/>
        </w:trPr>
        <w:tc>
          <w:tcPr>
            <w:tcW w:w="1843"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Loans secured on real assets</w:t>
            </w:r>
          </w:p>
          <w:p w:rsidR="00D66945" w:rsidRPr="007828C4" w:rsidRDefault="00D66945" w:rsidP="00A33453">
            <w:pPr>
              <w:rPr>
                <w:rFonts w:eastAsia="Arial Unicode MS" w:cs="Arial"/>
                <w:sz w:val="20"/>
                <w:szCs w:val="22"/>
              </w:rPr>
            </w:pPr>
            <w:r w:rsidRPr="007828C4">
              <w:rPr>
                <w:rFonts w:eastAsia="Arial Unicode MS" w:cs="Arial"/>
                <w:sz w:val="20"/>
                <w:szCs w:val="22"/>
              </w:rPr>
              <w:t xml:space="preserve"> </w:t>
            </w:r>
          </w:p>
        </w:tc>
        <w:tc>
          <w:tcPr>
            <w:tcW w:w="3898"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 xml:space="preserve">The Heylo Housing Trust loans are held at the best estimate of market value.  The value is based on long term expectations of interest rates, inflation and credit spreads in the housing association sector. Exact market benchmarks for these estimates may not be easily observable.  </w:t>
            </w:r>
          </w:p>
        </w:tc>
        <w:tc>
          <w:tcPr>
            <w:tcW w:w="3898"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 xml:space="preserve">The market value of housing authority loans to Heylo Housing totals </w:t>
            </w:r>
            <w:r>
              <w:rPr>
                <w:rFonts w:eastAsia="Arial Unicode MS" w:cs="Arial"/>
                <w:sz w:val="20"/>
                <w:szCs w:val="22"/>
              </w:rPr>
              <w:t>£198.3</w:t>
            </w:r>
            <w:r w:rsidRPr="007828C4">
              <w:rPr>
                <w:rFonts w:eastAsia="Arial Unicode MS" w:cs="Arial"/>
                <w:sz w:val="20"/>
                <w:szCs w:val="22"/>
              </w:rPr>
              <w:t>m in the financial statements.</w:t>
            </w:r>
          </w:p>
          <w:p w:rsidR="00D66945" w:rsidRPr="007828C4" w:rsidRDefault="00D66945" w:rsidP="00A33453">
            <w:pPr>
              <w:rPr>
                <w:rFonts w:eastAsia="Arial Unicode MS" w:cs="Arial"/>
                <w:sz w:val="20"/>
                <w:szCs w:val="22"/>
              </w:rPr>
            </w:pPr>
          </w:p>
          <w:p w:rsidR="00D66945" w:rsidRPr="007828C4" w:rsidRDefault="00D66945" w:rsidP="00A33453">
            <w:pPr>
              <w:rPr>
                <w:rFonts w:eastAsia="Arial Unicode MS" w:cs="Arial"/>
                <w:sz w:val="20"/>
                <w:szCs w:val="22"/>
              </w:rPr>
            </w:pPr>
            <w:r w:rsidRPr="007828C4">
              <w:rPr>
                <w:rFonts w:eastAsia="Arial Unicode MS" w:cs="Arial"/>
                <w:sz w:val="20"/>
                <w:szCs w:val="22"/>
              </w:rPr>
              <w:t>There is a risk that this may be under or overstated.</w:t>
            </w:r>
          </w:p>
          <w:p w:rsidR="00D66945" w:rsidRPr="007828C4" w:rsidRDefault="00D66945" w:rsidP="00A33453">
            <w:pPr>
              <w:rPr>
                <w:rFonts w:eastAsia="Arial Unicode MS" w:cs="Arial"/>
                <w:sz w:val="20"/>
                <w:szCs w:val="22"/>
                <w:highlight w:val="yellow"/>
              </w:rPr>
            </w:pPr>
          </w:p>
        </w:tc>
      </w:tr>
      <w:tr w:rsidR="00D66945" w:rsidRPr="007828C4" w:rsidTr="00A33453">
        <w:trPr>
          <w:trHeight w:val="1620"/>
        </w:trPr>
        <w:tc>
          <w:tcPr>
            <w:tcW w:w="1843" w:type="dxa"/>
            <w:shd w:val="clear" w:color="auto" w:fill="auto"/>
          </w:tcPr>
          <w:p w:rsidR="00D66945" w:rsidRPr="007828C4" w:rsidRDefault="00D66945" w:rsidP="00A33453">
            <w:pPr>
              <w:rPr>
                <w:rFonts w:eastAsia="Arial Unicode MS" w:cs="Arial"/>
                <w:sz w:val="20"/>
                <w:szCs w:val="22"/>
                <w:highlight w:val="yellow"/>
              </w:rPr>
            </w:pPr>
            <w:r w:rsidRPr="007828C4">
              <w:rPr>
                <w:rFonts w:eastAsia="Arial Unicode MS" w:cs="Arial"/>
                <w:sz w:val="20"/>
                <w:szCs w:val="22"/>
              </w:rPr>
              <w:t>Indirect property valuations</w:t>
            </w:r>
          </w:p>
        </w:tc>
        <w:tc>
          <w:tcPr>
            <w:tcW w:w="3898" w:type="dxa"/>
            <w:shd w:val="clear" w:color="auto" w:fill="auto"/>
          </w:tcPr>
          <w:p w:rsidR="00D66945" w:rsidRPr="007828C4" w:rsidRDefault="00D66945" w:rsidP="00A33453">
            <w:pPr>
              <w:rPr>
                <w:rFonts w:eastAsia="Arial Unicode MS" w:cs="Arial"/>
                <w:sz w:val="20"/>
                <w:szCs w:val="22"/>
                <w:highlight w:val="yellow"/>
              </w:rPr>
            </w:pPr>
            <w:r w:rsidRPr="007828C4">
              <w:rPr>
                <w:rFonts w:eastAsia="Arial Unicode MS" w:cs="Arial"/>
                <w:sz w:val="20"/>
                <w:szCs w:val="22"/>
              </w:rPr>
              <w:t>Indirect properties are valued at the current open market value as defined by the RICS Appraisal and Valuation Standards. These investments are not publicly listed and as such there is a degree of estimation involved in the valuation.</w:t>
            </w:r>
          </w:p>
        </w:tc>
        <w:tc>
          <w:tcPr>
            <w:tcW w:w="3898"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 xml:space="preserve">Indirect property investments in the financial statements total </w:t>
            </w:r>
            <w:r>
              <w:rPr>
                <w:rFonts w:eastAsia="Arial Unicode MS" w:cs="Arial"/>
                <w:sz w:val="20"/>
                <w:szCs w:val="22"/>
              </w:rPr>
              <w:t>£113.3</w:t>
            </w:r>
            <w:r w:rsidRPr="007828C4">
              <w:rPr>
                <w:rFonts w:eastAsia="Arial Unicode MS" w:cs="Arial"/>
                <w:sz w:val="20"/>
                <w:szCs w:val="22"/>
              </w:rPr>
              <w:t xml:space="preserve">m. </w:t>
            </w:r>
          </w:p>
          <w:p w:rsidR="00D66945" w:rsidRPr="007828C4" w:rsidRDefault="00D66945" w:rsidP="00A33453">
            <w:pPr>
              <w:rPr>
                <w:rFonts w:eastAsia="Arial Unicode MS" w:cs="Arial"/>
                <w:sz w:val="20"/>
                <w:szCs w:val="22"/>
              </w:rPr>
            </w:pPr>
            <w:r w:rsidRPr="007828C4">
              <w:rPr>
                <w:rFonts w:eastAsia="Arial Unicode MS" w:cs="Arial"/>
                <w:sz w:val="20"/>
                <w:szCs w:val="22"/>
              </w:rPr>
              <w:t xml:space="preserve"> </w:t>
            </w:r>
          </w:p>
          <w:p w:rsidR="00D66945" w:rsidRPr="007828C4" w:rsidRDefault="00D66945" w:rsidP="00A33453">
            <w:pPr>
              <w:rPr>
                <w:rFonts w:eastAsia="Arial Unicode MS" w:cs="Arial"/>
                <w:sz w:val="20"/>
                <w:szCs w:val="22"/>
              </w:rPr>
            </w:pPr>
            <w:r w:rsidRPr="007828C4">
              <w:rPr>
                <w:rFonts w:eastAsia="Arial Unicode MS" w:cs="Arial"/>
                <w:sz w:val="20"/>
                <w:szCs w:val="22"/>
              </w:rPr>
              <w:t>There is a risk that these investments may be under or overstated in the accounts.</w:t>
            </w:r>
          </w:p>
        </w:tc>
      </w:tr>
      <w:tr w:rsidR="00D66945" w:rsidRPr="007828C4" w:rsidTr="00DE18D2">
        <w:trPr>
          <w:trHeight w:val="2752"/>
        </w:trPr>
        <w:tc>
          <w:tcPr>
            <w:tcW w:w="1843"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Actuarial present value of retirement benefits</w:t>
            </w:r>
          </w:p>
        </w:tc>
        <w:tc>
          <w:tcPr>
            <w:tcW w:w="389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682"/>
            </w:tblGrid>
            <w:tr w:rsidR="00D66945" w:rsidRPr="007828C4" w:rsidTr="00A33453">
              <w:trPr>
                <w:trHeight w:val="3077"/>
              </w:trPr>
              <w:tc>
                <w:tcPr>
                  <w:tcW w:w="0" w:type="auto"/>
                </w:tcPr>
                <w:p w:rsidR="00D66945" w:rsidRPr="007828C4" w:rsidRDefault="00D66945" w:rsidP="00A33453">
                  <w:pPr>
                    <w:ind w:left="-35"/>
                    <w:rPr>
                      <w:rFonts w:eastAsia="Arial Unicode MS" w:cs="Arial"/>
                      <w:sz w:val="20"/>
                      <w:szCs w:val="22"/>
                    </w:rPr>
                  </w:pPr>
                  <w:r w:rsidRPr="007828C4">
                    <w:rPr>
                      <w:rFonts w:eastAsia="Arial Unicode MS" w:cs="Arial"/>
                      <w:sz w:val="20"/>
                      <w:szCs w:val="22"/>
                    </w:rPr>
                    <w:t>Estimation of the net liability to pay pensions depends on a number of complex judgements relating to the discount rate used, the rate at which salaries are projected to increase, changes in retirement ages, mortality rates and expected returns on pension fund assets. A firm of consulting actuaries (Mercers) is engaged to provide the authority with expert advice about the assumptions to be applied.</w:t>
                  </w:r>
                </w:p>
              </w:tc>
            </w:tr>
          </w:tbl>
          <w:p w:rsidR="00D66945" w:rsidRPr="007828C4" w:rsidRDefault="00D66945" w:rsidP="00A33453">
            <w:pPr>
              <w:rPr>
                <w:rFonts w:eastAsia="Arial Unicode MS" w:cs="Arial"/>
                <w:sz w:val="20"/>
                <w:szCs w:val="22"/>
              </w:rPr>
            </w:pPr>
          </w:p>
        </w:tc>
        <w:tc>
          <w:tcPr>
            <w:tcW w:w="3898" w:type="dxa"/>
            <w:shd w:val="clear" w:color="auto" w:fill="auto"/>
          </w:tcPr>
          <w:p w:rsidR="00D66945" w:rsidRPr="007828C4" w:rsidRDefault="00D66945" w:rsidP="00A33453">
            <w:pPr>
              <w:rPr>
                <w:rFonts w:eastAsia="Arial Unicode MS" w:cs="Arial"/>
                <w:sz w:val="20"/>
                <w:szCs w:val="20"/>
              </w:rPr>
            </w:pPr>
            <w:r w:rsidRPr="007828C4">
              <w:rPr>
                <w:rFonts w:cs="Arial"/>
                <w:iCs/>
                <w:sz w:val="20"/>
                <w:szCs w:val="20"/>
              </w:rPr>
              <w:t xml:space="preserve">The effects on the net pension liability of changes in individual assumptions can be measured. For instance, a 0.25% reduction in the discount rate assumption would increase the value of the liabilities by approximately </w:t>
            </w:r>
            <w:r w:rsidRPr="00953B0F">
              <w:rPr>
                <w:rFonts w:cs="Arial"/>
                <w:iCs/>
                <w:sz w:val="20"/>
                <w:szCs w:val="20"/>
              </w:rPr>
              <w:t>£450m</w:t>
            </w:r>
            <w:r w:rsidRPr="007828C4">
              <w:rPr>
                <w:rFonts w:cs="Arial"/>
                <w:iCs/>
                <w:sz w:val="20"/>
                <w:szCs w:val="20"/>
              </w:rPr>
              <w:t xml:space="preserve">.  A 0.5% increase in assumed earnings inflation would increase the value of the liabilities by </w:t>
            </w:r>
            <w:r w:rsidRPr="00953B0F">
              <w:rPr>
                <w:rFonts w:cs="Arial"/>
                <w:iCs/>
                <w:sz w:val="20"/>
                <w:szCs w:val="20"/>
              </w:rPr>
              <w:t>approximately £100m</w:t>
            </w:r>
            <w:r w:rsidRPr="007828C4">
              <w:rPr>
                <w:rFonts w:cs="Arial"/>
                <w:iCs/>
                <w:sz w:val="20"/>
                <w:szCs w:val="20"/>
              </w:rPr>
              <w:t xml:space="preserve"> and a 1 year increase in assumed life expectancy would increase the liabilities by approximately </w:t>
            </w:r>
            <w:r w:rsidRPr="00953B0F">
              <w:rPr>
                <w:rFonts w:cs="Arial"/>
                <w:iCs/>
                <w:sz w:val="20"/>
                <w:szCs w:val="20"/>
              </w:rPr>
              <w:t>£200m.</w:t>
            </w:r>
          </w:p>
        </w:tc>
      </w:tr>
    </w:tbl>
    <w:p w:rsidR="00D66945" w:rsidRDefault="00D66945" w:rsidP="00D66945">
      <w:pPr>
        <w:rPr>
          <w:rFonts w:eastAsia="Arial Unicode MS" w:cs="Arial"/>
          <w:sz w:val="22"/>
          <w:szCs w:val="22"/>
          <w:lang w:eastAsia="en-GB"/>
        </w:rPr>
      </w:pPr>
    </w:p>
    <w:p w:rsidR="00DE18D2" w:rsidRDefault="00DE18D2" w:rsidP="00D66945">
      <w:pPr>
        <w:rPr>
          <w:rFonts w:eastAsia="Arial Unicode MS" w:cs="Arial"/>
          <w:sz w:val="22"/>
          <w:szCs w:val="22"/>
          <w:lang w:eastAsia="en-GB"/>
        </w:rPr>
      </w:pPr>
    </w:p>
    <w:p w:rsidR="00D66945" w:rsidRPr="007828C4" w:rsidRDefault="00D66945" w:rsidP="00D66945">
      <w:pPr>
        <w:numPr>
          <w:ilvl w:val="0"/>
          <w:numId w:val="6"/>
        </w:numPr>
        <w:tabs>
          <w:tab w:val="num" w:pos="567"/>
        </w:tabs>
        <w:spacing w:after="0"/>
        <w:ind w:left="567" w:hanging="567"/>
        <w:rPr>
          <w:rFonts w:eastAsia="Arial Unicode MS" w:cs="Arial"/>
          <w:b/>
          <w:sz w:val="32"/>
          <w:szCs w:val="22"/>
        </w:rPr>
      </w:pPr>
      <w:r w:rsidRPr="007828C4">
        <w:rPr>
          <w:rFonts w:eastAsia="Arial Unicode MS" w:cs="Arial"/>
          <w:b/>
          <w:sz w:val="32"/>
          <w:szCs w:val="22"/>
        </w:rPr>
        <w:t>CONTRIBUTIONS RECEIVABLE</w:t>
      </w:r>
    </w:p>
    <w:p w:rsidR="00D66945" w:rsidRPr="007828C4" w:rsidRDefault="00D66945" w:rsidP="00D66945">
      <w:pPr>
        <w:ind w:left="567"/>
        <w:contextualSpacing/>
        <w:rPr>
          <w:rFonts w:eastAsia="Arial Unicode MS" w:cs="Arial"/>
          <w:sz w:val="22"/>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Pr>
                <w:rFonts w:eastAsia="Arial Unicode MS" w:cs="Arial"/>
                <w:b/>
                <w:sz w:val="20"/>
                <w:szCs w:val="18"/>
              </w:rPr>
              <w:t>2016/17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20"/>
              </w:rPr>
              <w:t>By category</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18"/>
              </w:rPr>
              <w:t>55.5</w:t>
            </w:r>
          </w:p>
        </w:tc>
        <w:tc>
          <w:tcPr>
            <w:tcW w:w="6221" w:type="dxa"/>
            <w:shd w:val="clear" w:color="auto" w:fill="auto"/>
          </w:tcPr>
          <w:p w:rsidR="00D66945" w:rsidRPr="00CE44BE" w:rsidRDefault="00D66945" w:rsidP="00A33453">
            <w:pPr>
              <w:tabs>
                <w:tab w:val="left" w:pos="1455"/>
                <w:tab w:val="left" w:pos="5040"/>
                <w:tab w:val="left" w:pos="6885"/>
              </w:tabs>
              <w:rPr>
                <w:rFonts w:eastAsia="Arial Unicode MS" w:cs="Arial"/>
                <w:b/>
                <w:sz w:val="20"/>
                <w:szCs w:val="20"/>
              </w:rPr>
            </w:pPr>
            <w:r w:rsidRPr="00CE44BE">
              <w:rPr>
                <w:rFonts w:eastAsia="Arial Unicode MS" w:cs="Arial"/>
                <w:b/>
                <w:sz w:val="20"/>
                <w:szCs w:val="20"/>
              </w:rPr>
              <w:t>Members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56.5</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Employers: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p>
        </w:tc>
      </w:tr>
      <w:tr w:rsidR="00D66945" w:rsidRPr="007828C4" w:rsidTr="00A33453">
        <w:trPr>
          <w:trHeight w:val="519"/>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124.5</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Normal contributions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D16A3C">
              <w:rPr>
                <w:rFonts w:eastAsia="Arial Unicode MS" w:cs="Arial"/>
                <w:sz w:val="20"/>
                <w:szCs w:val="18"/>
              </w:rPr>
              <w:t>136.0</w:t>
            </w:r>
          </w:p>
        </w:tc>
      </w:tr>
      <w:tr w:rsidR="00D66945" w:rsidRPr="007828C4" w:rsidTr="00A33453">
        <w:trPr>
          <w:trHeight w:val="519"/>
        </w:trPr>
        <w:tc>
          <w:tcPr>
            <w:tcW w:w="1717" w:type="dxa"/>
            <w:shd w:val="clear" w:color="auto" w:fill="auto"/>
          </w:tcPr>
          <w:p w:rsidR="00D66945" w:rsidRPr="007828C4" w:rsidDel="00310890"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48.5</w:t>
            </w:r>
          </w:p>
        </w:tc>
        <w:tc>
          <w:tcPr>
            <w:tcW w:w="6221" w:type="dxa"/>
            <w:shd w:val="clear" w:color="auto" w:fill="auto"/>
          </w:tcPr>
          <w:p w:rsidR="00D66945" w:rsidRPr="007828C4" w:rsidDel="00310890"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Deficit recovery contributions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38.2</w:t>
            </w:r>
          </w:p>
        </w:tc>
      </w:tr>
      <w:tr w:rsidR="00D66945" w:rsidRPr="007828C4" w:rsidTr="00A33453">
        <w:trPr>
          <w:trHeight w:val="519"/>
        </w:trPr>
        <w:tc>
          <w:tcPr>
            <w:tcW w:w="1717" w:type="dxa"/>
            <w:shd w:val="clear" w:color="auto" w:fill="auto"/>
          </w:tcPr>
          <w:p w:rsidR="00D66945" w:rsidRPr="007828C4" w:rsidDel="00310890"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17.0</w:t>
            </w:r>
          </w:p>
        </w:tc>
        <w:tc>
          <w:tcPr>
            <w:tcW w:w="6221" w:type="dxa"/>
            <w:shd w:val="clear" w:color="auto" w:fill="auto"/>
          </w:tcPr>
          <w:p w:rsidR="00D66945" w:rsidRPr="007828C4" w:rsidDel="00310890"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Augmentation contributions</w:t>
            </w:r>
            <w:r w:rsidRPr="0003472A">
              <w:rPr>
                <w:rFonts w:eastAsia="Arial Unicode MS" w:cs="Arial"/>
                <w:sz w:val="20"/>
                <w:szCs w:val="20"/>
                <w:vertAlign w:val="superscript"/>
              </w:rPr>
              <w:t>1</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7.2</w:t>
            </w:r>
          </w:p>
        </w:tc>
      </w:tr>
      <w:tr w:rsidR="00D66945" w:rsidRPr="007828C4" w:rsidTr="00A33453">
        <w:trPr>
          <w:trHeight w:val="519"/>
        </w:trPr>
        <w:tc>
          <w:tcPr>
            <w:tcW w:w="1717" w:type="dxa"/>
            <w:shd w:val="clear" w:color="auto" w:fill="auto"/>
          </w:tcPr>
          <w:p w:rsidR="00D66945" w:rsidRPr="007828C4" w:rsidDel="00310890"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18"/>
              </w:rPr>
              <w:t>190.0</w:t>
            </w:r>
          </w:p>
        </w:tc>
        <w:tc>
          <w:tcPr>
            <w:tcW w:w="6221" w:type="dxa"/>
            <w:shd w:val="clear" w:color="auto" w:fill="auto"/>
          </w:tcPr>
          <w:p w:rsidR="00D66945" w:rsidRPr="00CE44BE" w:rsidRDefault="00D66945" w:rsidP="00A33453">
            <w:pPr>
              <w:tabs>
                <w:tab w:val="left" w:pos="1455"/>
                <w:tab w:val="left" w:pos="5040"/>
                <w:tab w:val="left" w:pos="6885"/>
              </w:tabs>
              <w:rPr>
                <w:rFonts w:eastAsia="Arial Unicode MS" w:cs="Arial"/>
                <w:b/>
                <w:sz w:val="20"/>
                <w:szCs w:val="20"/>
              </w:rPr>
            </w:pPr>
            <w:r w:rsidRPr="00CE44BE">
              <w:rPr>
                <w:rFonts w:eastAsia="Arial Unicode MS" w:cs="Arial"/>
                <w:b/>
                <w:sz w:val="20"/>
                <w:szCs w:val="20"/>
              </w:rPr>
              <w:t>Total employers contributions</w:t>
            </w:r>
          </w:p>
        </w:tc>
        <w:tc>
          <w:tcPr>
            <w:tcW w:w="1701" w:type="dxa"/>
            <w:shd w:val="clear" w:color="auto" w:fill="auto"/>
          </w:tcPr>
          <w:p w:rsidR="00D66945" w:rsidRPr="0009125B" w:rsidRDefault="00D66945" w:rsidP="00A33453">
            <w:pPr>
              <w:tabs>
                <w:tab w:val="left" w:pos="2160"/>
                <w:tab w:val="left" w:pos="6885"/>
              </w:tabs>
              <w:spacing w:after="60"/>
              <w:jc w:val="right"/>
              <w:rPr>
                <w:rFonts w:eastAsia="Arial Unicode MS" w:cs="Arial"/>
                <w:b/>
                <w:sz w:val="20"/>
                <w:szCs w:val="18"/>
              </w:rPr>
            </w:pPr>
            <w:r w:rsidRPr="0009125B">
              <w:rPr>
                <w:rFonts w:eastAsia="Arial Unicode MS" w:cs="Arial"/>
                <w:b/>
                <w:sz w:val="20"/>
                <w:szCs w:val="18"/>
              </w:rPr>
              <w:t>181.</w:t>
            </w:r>
            <w:r>
              <w:rPr>
                <w:rFonts w:eastAsia="Arial Unicode MS" w:cs="Arial"/>
                <w:b/>
                <w:sz w:val="20"/>
                <w:szCs w:val="18"/>
              </w:rPr>
              <w:t>4</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sidRPr="007828C4">
              <w:rPr>
                <w:rFonts w:eastAsia="Arial Unicode MS" w:cs="Arial"/>
                <w:b/>
                <w:sz w:val="20"/>
                <w:szCs w:val="18"/>
              </w:rPr>
              <w:t>245.5</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p>
        </w:tc>
        <w:tc>
          <w:tcPr>
            <w:tcW w:w="1701" w:type="dxa"/>
            <w:shd w:val="clear" w:color="auto" w:fill="E7E6E6" w:themeFill="background2"/>
          </w:tcPr>
          <w:p w:rsidR="00D66945" w:rsidRPr="0009125B" w:rsidRDefault="00D66945" w:rsidP="00A33453">
            <w:pPr>
              <w:tabs>
                <w:tab w:val="left" w:pos="2160"/>
                <w:tab w:val="left" w:pos="6885"/>
              </w:tabs>
              <w:spacing w:after="60"/>
              <w:jc w:val="right"/>
              <w:rPr>
                <w:rFonts w:eastAsia="Arial Unicode MS" w:cs="Arial"/>
                <w:b/>
                <w:sz w:val="20"/>
                <w:szCs w:val="18"/>
              </w:rPr>
            </w:pPr>
            <w:r w:rsidRPr="00D16A3C">
              <w:rPr>
                <w:rFonts w:eastAsia="Arial Unicode MS" w:cs="Arial"/>
                <w:b/>
                <w:sz w:val="20"/>
                <w:szCs w:val="18"/>
              </w:rPr>
              <w:t>237.9</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r w:rsidRPr="007828C4">
              <w:rPr>
                <w:rFonts w:eastAsia="Arial Unicode MS" w:cs="Arial"/>
                <w:b/>
                <w:sz w:val="20"/>
                <w:szCs w:val="20"/>
              </w:rPr>
              <w:t>By authority</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109.5</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County Council</w:t>
            </w:r>
          </w:p>
        </w:tc>
        <w:tc>
          <w:tcPr>
            <w:tcW w:w="1701" w:type="dxa"/>
            <w:shd w:val="clear" w:color="auto" w:fill="auto"/>
          </w:tcPr>
          <w:p w:rsidR="00D66945" w:rsidRPr="00CE44BE" w:rsidRDefault="00D66945" w:rsidP="00A33453">
            <w:pPr>
              <w:tabs>
                <w:tab w:val="left" w:pos="2160"/>
                <w:tab w:val="left" w:pos="6885"/>
              </w:tabs>
              <w:spacing w:after="60"/>
              <w:jc w:val="right"/>
              <w:rPr>
                <w:rFonts w:eastAsia="Arial Unicode MS" w:cs="Arial"/>
                <w:sz w:val="20"/>
                <w:szCs w:val="18"/>
                <w:highlight w:val="yellow"/>
              </w:rPr>
            </w:pPr>
            <w:r w:rsidRPr="00CE44BE">
              <w:rPr>
                <w:rFonts w:eastAsia="Arial Unicode MS" w:cs="Arial"/>
                <w:sz w:val="20"/>
                <w:szCs w:val="18"/>
              </w:rPr>
              <w:t>96.2</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114.7</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Scheduled bodies</w:t>
            </w:r>
          </w:p>
        </w:tc>
        <w:tc>
          <w:tcPr>
            <w:tcW w:w="1701" w:type="dxa"/>
            <w:shd w:val="clear" w:color="auto" w:fill="auto"/>
          </w:tcPr>
          <w:p w:rsidR="00D66945" w:rsidRPr="00CE44BE" w:rsidRDefault="00D66945" w:rsidP="00A33453">
            <w:pPr>
              <w:tabs>
                <w:tab w:val="left" w:pos="2160"/>
                <w:tab w:val="left" w:pos="6885"/>
              </w:tabs>
              <w:spacing w:after="60"/>
              <w:jc w:val="right"/>
              <w:rPr>
                <w:rFonts w:eastAsia="Arial Unicode MS" w:cs="Arial"/>
                <w:sz w:val="20"/>
                <w:szCs w:val="18"/>
                <w:highlight w:val="yellow"/>
              </w:rPr>
            </w:pPr>
            <w:r w:rsidRPr="00CE44BE">
              <w:rPr>
                <w:rFonts w:eastAsia="Arial Unicode MS" w:cs="Arial"/>
                <w:sz w:val="20"/>
                <w:szCs w:val="18"/>
              </w:rPr>
              <w:t>118.</w:t>
            </w:r>
            <w:r>
              <w:rPr>
                <w:rFonts w:eastAsia="Arial Unicode MS" w:cs="Arial"/>
                <w:sz w:val="20"/>
                <w:szCs w:val="18"/>
              </w:rPr>
              <w:t>2</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21.3</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Admitted bodies</w:t>
            </w:r>
          </w:p>
        </w:tc>
        <w:tc>
          <w:tcPr>
            <w:tcW w:w="1701" w:type="dxa"/>
            <w:shd w:val="clear" w:color="auto" w:fill="auto"/>
          </w:tcPr>
          <w:p w:rsidR="00D66945" w:rsidRPr="00CE44BE" w:rsidRDefault="00D66945" w:rsidP="00A33453">
            <w:pPr>
              <w:tabs>
                <w:tab w:val="left" w:pos="2160"/>
                <w:tab w:val="left" w:pos="6885"/>
              </w:tabs>
              <w:spacing w:after="60"/>
              <w:jc w:val="right"/>
              <w:rPr>
                <w:rFonts w:eastAsia="Arial Unicode MS" w:cs="Arial"/>
                <w:sz w:val="20"/>
                <w:szCs w:val="18"/>
                <w:highlight w:val="yellow"/>
              </w:rPr>
            </w:pPr>
            <w:r w:rsidRPr="00CE44BE">
              <w:rPr>
                <w:rFonts w:eastAsia="Arial Unicode MS" w:cs="Arial"/>
                <w:sz w:val="20"/>
                <w:szCs w:val="18"/>
              </w:rPr>
              <w:t>23.</w:t>
            </w:r>
            <w:r>
              <w:rPr>
                <w:rFonts w:eastAsia="Arial Unicode MS" w:cs="Arial"/>
                <w:sz w:val="20"/>
                <w:szCs w:val="18"/>
              </w:rPr>
              <w:t>5</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sidRPr="007828C4">
              <w:rPr>
                <w:rFonts w:eastAsia="Arial Unicode MS" w:cs="Arial"/>
                <w:b/>
                <w:sz w:val="20"/>
                <w:szCs w:val="18"/>
              </w:rPr>
              <w:t>245.5</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sidRPr="00D16A3C">
              <w:rPr>
                <w:rFonts w:eastAsia="Arial Unicode MS" w:cs="Arial"/>
                <w:b/>
                <w:sz w:val="20"/>
                <w:szCs w:val="18"/>
              </w:rPr>
              <w:t>237.9</w:t>
            </w:r>
          </w:p>
        </w:tc>
      </w:tr>
    </w:tbl>
    <w:p w:rsidR="00D66945" w:rsidRPr="0003472A" w:rsidRDefault="00D66945" w:rsidP="00D66945">
      <w:pPr>
        <w:rPr>
          <w:rFonts w:eastAsia="Arial Unicode MS" w:cs="Arial"/>
          <w:sz w:val="20"/>
          <w:szCs w:val="20"/>
        </w:rPr>
      </w:pPr>
      <w:r w:rsidRPr="0003472A">
        <w:rPr>
          <w:rFonts w:eastAsia="Arial Unicode MS" w:cs="Arial"/>
          <w:sz w:val="22"/>
          <w:szCs w:val="22"/>
          <w:vertAlign w:val="superscript"/>
        </w:rPr>
        <w:t>1</w:t>
      </w:r>
      <w:r w:rsidRPr="0003472A">
        <w:rPr>
          <w:rFonts w:eastAsia="Arial Unicode MS" w:cs="Arial"/>
          <w:sz w:val="20"/>
          <w:szCs w:val="20"/>
        </w:rPr>
        <w:t>Augmentation contributions comprise additional pension benefits awarded by employers to scheme members in line with the general conditions of employment.</w:t>
      </w:r>
    </w:p>
    <w:p w:rsidR="00D66945" w:rsidRPr="007828C4" w:rsidRDefault="00D66945" w:rsidP="00D66945">
      <w:pPr>
        <w:ind w:left="720"/>
        <w:rPr>
          <w:rFonts w:eastAsia="Arial Unicode MS" w:cs="Arial"/>
          <w:sz w:val="22"/>
          <w:szCs w:val="22"/>
        </w:rPr>
      </w:pPr>
    </w:p>
    <w:p w:rsidR="00D66945" w:rsidRDefault="00D66945" w:rsidP="00D66945">
      <w:pPr>
        <w:rPr>
          <w:rFonts w:eastAsia="Arial Unicode MS" w:cs="Arial"/>
          <w:sz w:val="22"/>
          <w:szCs w:val="22"/>
        </w:rPr>
      </w:pPr>
      <w:r w:rsidRPr="007828C4">
        <w:rPr>
          <w:rFonts w:eastAsia="Arial Unicode MS" w:cs="Arial"/>
          <w:sz w:val="22"/>
          <w:szCs w:val="22"/>
        </w:rPr>
        <w:t xml:space="preserve">Within the employee contributions figure for </w:t>
      </w:r>
      <w:r>
        <w:rPr>
          <w:rFonts w:eastAsia="Arial Unicode MS" w:cs="Arial"/>
          <w:sz w:val="22"/>
          <w:szCs w:val="22"/>
        </w:rPr>
        <w:t>2017/18</w:t>
      </w:r>
      <w:r w:rsidRPr="007828C4">
        <w:rPr>
          <w:rFonts w:eastAsia="Arial Unicode MS" w:cs="Arial"/>
          <w:sz w:val="22"/>
          <w:szCs w:val="22"/>
        </w:rPr>
        <w:t xml:space="preserve">, </w:t>
      </w:r>
      <w:r>
        <w:rPr>
          <w:rFonts w:eastAsia="Arial Unicode MS" w:cs="Arial"/>
          <w:sz w:val="22"/>
          <w:szCs w:val="22"/>
        </w:rPr>
        <w:t>£0.4</w:t>
      </w:r>
      <w:r w:rsidRPr="007828C4">
        <w:rPr>
          <w:rFonts w:eastAsia="Arial Unicode MS" w:cs="Arial"/>
          <w:sz w:val="22"/>
          <w:szCs w:val="22"/>
        </w:rPr>
        <w:t>m is voluntary and additional regular contributions (</w:t>
      </w:r>
      <w:r>
        <w:rPr>
          <w:rFonts w:eastAsia="Arial Unicode MS" w:cs="Arial"/>
          <w:sz w:val="22"/>
          <w:szCs w:val="22"/>
        </w:rPr>
        <w:t>2016/17</w:t>
      </w:r>
      <w:r w:rsidRPr="007828C4">
        <w:rPr>
          <w:rFonts w:eastAsia="Arial Unicode MS" w:cs="Arial"/>
          <w:sz w:val="22"/>
          <w:szCs w:val="22"/>
        </w:rPr>
        <w:t>: £0.</w:t>
      </w:r>
      <w:r>
        <w:rPr>
          <w:rFonts w:eastAsia="Arial Unicode MS" w:cs="Arial"/>
          <w:sz w:val="22"/>
          <w:szCs w:val="22"/>
        </w:rPr>
        <w:t>3</w:t>
      </w:r>
      <w:r w:rsidRPr="007828C4">
        <w:rPr>
          <w:rFonts w:eastAsia="Arial Unicode MS" w:cs="Arial"/>
          <w:sz w:val="22"/>
          <w:szCs w:val="22"/>
        </w:rPr>
        <w:t>m).</w:t>
      </w:r>
    </w:p>
    <w:p w:rsidR="00DE18D2" w:rsidRDefault="00DE18D2" w:rsidP="00D66945">
      <w:pPr>
        <w:rPr>
          <w:rFonts w:eastAsia="Arial Unicode MS" w:cs="Arial"/>
          <w:sz w:val="22"/>
          <w:szCs w:val="22"/>
        </w:rPr>
      </w:pPr>
    </w:p>
    <w:p w:rsidR="00DE18D2" w:rsidRDefault="00DE18D2" w:rsidP="00D66945">
      <w:pPr>
        <w:rPr>
          <w:rFonts w:eastAsia="Arial Unicode MS" w:cs="Arial"/>
          <w:sz w:val="22"/>
          <w:szCs w:val="22"/>
        </w:rPr>
      </w:pPr>
    </w:p>
    <w:p w:rsidR="00DE18D2" w:rsidRDefault="00DE18D2" w:rsidP="00D66945">
      <w:pPr>
        <w:rPr>
          <w:rFonts w:eastAsia="Arial Unicode MS" w:cs="Arial"/>
          <w:sz w:val="22"/>
          <w:szCs w:val="22"/>
        </w:rPr>
      </w:pPr>
    </w:p>
    <w:p w:rsidR="00DE18D2" w:rsidRPr="007828C4" w:rsidRDefault="00DE18D2"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Pr="007828C4" w:rsidRDefault="00D66945" w:rsidP="00D66945">
      <w:pPr>
        <w:numPr>
          <w:ilvl w:val="0"/>
          <w:numId w:val="6"/>
        </w:numPr>
        <w:spacing w:after="0"/>
        <w:ind w:left="862" w:hanging="862"/>
        <w:contextualSpacing/>
        <w:rPr>
          <w:rFonts w:eastAsia="Arial Unicode MS" w:cs="Arial"/>
          <w:b/>
          <w:sz w:val="32"/>
          <w:szCs w:val="22"/>
        </w:rPr>
      </w:pPr>
      <w:r w:rsidRPr="007828C4">
        <w:rPr>
          <w:rFonts w:eastAsia="Arial Unicode MS" w:cs="Arial"/>
          <w:b/>
          <w:sz w:val="32"/>
          <w:szCs w:val="22"/>
        </w:rPr>
        <w:t>TRANSFERS IN FROM OTHER PENSION  FUNDS</w:t>
      </w:r>
    </w:p>
    <w:p w:rsidR="00D66945" w:rsidRDefault="00D66945" w:rsidP="00D66945">
      <w:pPr>
        <w:ind w:left="862"/>
        <w:contextualSpacing/>
        <w:rPr>
          <w:rFonts w:eastAsia="Arial Unicode MS" w:cs="Arial"/>
          <w:b/>
          <w:sz w:val="28"/>
          <w:szCs w:val="22"/>
        </w:rPr>
      </w:pPr>
    </w:p>
    <w:p w:rsidR="00DE18D2" w:rsidRPr="007828C4" w:rsidRDefault="00DE18D2" w:rsidP="00D66945">
      <w:pPr>
        <w:ind w:left="862"/>
        <w:contextualSpacing/>
        <w:rPr>
          <w:rFonts w:eastAsia="Arial Unicode MS" w:cs="Arial"/>
          <w:b/>
          <w:sz w:val="28"/>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2016/17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10.9</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Individual transfers in from other schemes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11.5</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18"/>
              </w:rPr>
              <w:t>10.9</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11.5</w:t>
            </w:r>
          </w:p>
        </w:tc>
      </w:tr>
    </w:tbl>
    <w:p w:rsidR="00D66945" w:rsidRDefault="00D66945" w:rsidP="00D66945">
      <w:pPr>
        <w:ind w:left="862"/>
        <w:rPr>
          <w:rFonts w:eastAsia="Arial Unicode MS" w:cs="Arial"/>
          <w:sz w:val="28"/>
          <w:szCs w:val="22"/>
        </w:rPr>
      </w:pPr>
    </w:p>
    <w:p w:rsidR="00DE18D2" w:rsidRPr="007828C4" w:rsidRDefault="00DE18D2" w:rsidP="00D66945">
      <w:pPr>
        <w:ind w:left="862"/>
        <w:rPr>
          <w:rFonts w:eastAsia="Arial Unicode MS" w:cs="Arial"/>
          <w:sz w:val="28"/>
          <w:szCs w:val="22"/>
        </w:rPr>
      </w:pPr>
    </w:p>
    <w:p w:rsidR="00D66945" w:rsidRPr="007828C4" w:rsidRDefault="00D66945" w:rsidP="00D66945">
      <w:pPr>
        <w:numPr>
          <w:ilvl w:val="0"/>
          <w:numId w:val="6"/>
        </w:numPr>
        <w:spacing w:after="0"/>
        <w:ind w:left="862" w:hanging="862"/>
        <w:rPr>
          <w:rFonts w:eastAsia="Arial Unicode MS" w:cs="Arial"/>
          <w:sz w:val="32"/>
          <w:szCs w:val="22"/>
        </w:rPr>
      </w:pPr>
      <w:r w:rsidRPr="007828C4">
        <w:rPr>
          <w:rFonts w:eastAsia="Arial Unicode MS" w:cs="Arial"/>
          <w:b/>
          <w:sz w:val="32"/>
          <w:szCs w:val="22"/>
        </w:rPr>
        <w:t>BENEFITS PAYABLE</w:t>
      </w:r>
    </w:p>
    <w:p w:rsidR="00D66945" w:rsidRDefault="00D66945" w:rsidP="00D66945">
      <w:pPr>
        <w:ind w:left="862"/>
        <w:contextualSpacing/>
        <w:rPr>
          <w:rFonts w:eastAsia="Arial Unicode MS" w:cs="Arial"/>
          <w:b/>
          <w:sz w:val="28"/>
          <w:szCs w:val="22"/>
        </w:rPr>
      </w:pPr>
    </w:p>
    <w:p w:rsidR="00DE18D2" w:rsidRPr="007828C4" w:rsidRDefault="00DE18D2" w:rsidP="00D66945">
      <w:pPr>
        <w:ind w:left="862"/>
        <w:contextualSpacing/>
        <w:rPr>
          <w:rFonts w:eastAsia="Arial Unicode MS" w:cs="Arial"/>
          <w:b/>
          <w:sz w:val="28"/>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Pr>
                <w:rFonts w:eastAsia="Arial Unicode MS" w:cs="Arial"/>
                <w:b/>
                <w:sz w:val="20"/>
                <w:szCs w:val="18"/>
              </w:rPr>
              <w:t>2016/17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20"/>
              </w:rPr>
              <w:t>By category</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207.3</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Pensions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213.6</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48.2</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Commutation and lump sum retirement benefits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35.1</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5.6</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Lump sum death benefits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6.1</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261.1</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254.8</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c>
          <w:tcPr>
            <w:tcW w:w="6221" w:type="dxa"/>
            <w:shd w:val="clear" w:color="auto" w:fill="E7E6E6" w:themeFill="background2"/>
          </w:tcPr>
          <w:p w:rsidR="00D66945" w:rsidRPr="007828C4" w:rsidRDefault="00D66945" w:rsidP="00A33453">
            <w:pPr>
              <w:rPr>
                <w:rFonts w:eastAsia="Arial Unicode MS" w:cs="Arial"/>
                <w:b/>
                <w:sz w:val="20"/>
                <w:szCs w:val="20"/>
              </w:rPr>
            </w:pPr>
            <w:r w:rsidRPr="007828C4">
              <w:rPr>
                <w:rFonts w:eastAsia="Arial Unicode MS" w:cs="Arial"/>
                <w:b/>
                <w:sz w:val="20"/>
                <w:szCs w:val="20"/>
              </w:rPr>
              <w:t>By authority</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113.3</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County Council</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107.1</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128.6</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Scheduled bodies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126.5</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19.2</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Admitted bodies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21.2</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261.1</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254.8</w:t>
            </w:r>
          </w:p>
        </w:tc>
      </w:tr>
    </w:tbl>
    <w:p w:rsidR="00D66945" w:rsidRDefault="00D66945" w:rsidP="00D66945">
      <w:pPr>
        <w:rPr>
          <w:rFonts w:eastAsia="Arial Unicode MS" w:cs="Arial"/>
          <w:b/>
          <w:sz w:val="28"/>
          <w:szCs w:val="22"/>
        </w:rPr>
      </w:pPr>
    </w:p>
    <w:p w:rsidR="00DE18D2" w:rsidRPr="007828C4" w:rsidRDefault="00DE18D2" w:rsidP="00D66945">
      <w:pPr>
        <w:rPr>
          <w:rFonts w:eastAsia="Arial Unicode MS" w:cs="Arial"/>
          <w:b/>
          <w:sz w:val="28"/>
          <w:szCs w:val="22"/>
        </w:rPr>
      </w:pPr>
    </w:p>
    <w:p w:rsidR="00D66945" w:rsidRPr="007828C4" w:rsidRDefault="00D66945" w:rsidP="00D66945">
      <w:pPr>
        <w:numPr>
          <w:ilvl w:val="0"/>
          <w:numId w:val="6"/>
        </w:numPr>
        <w:spacing w:after="0"/>
        <w:ind w:left="862" w:hanging="862"/>
        <w:rPr>
          <w:rFonts w:eastAsia="Arial Unicode MS" w:cs="Arial"/>
          <w:b/>
          <w:sz w:val="32"/>
          <w:szCs w:val="22"/>
        </w:rPr>
      </w:pPr>
      <w:r w:rsidRPr="007828C4">
        <w:rPr>
          <w:rFonts w:eastAsia="Arial Unicode MS" w:cs="Arial"/>
          <w:b/>
          <w:sz w:val="32"/>
          <w:szCs w:val="22"/>
        </w:rPr>
        <w:t>PAYMENTS TO AND ON ACCOUNT OF LEAVERS</w:t>
      </w:r>
    </w:p>
    <w:p w:rsidR="00D66945" w:rsidRDefault="00D66945" w:rsidP="00D66945">
      <w:pPr>
        <w:rPr>
          <w:rFonts w:eastAsia="Arial Unicode MS" w:cs="Arial"/>
          <w:b/>
          <w:sz w:val="28"/>
          <w:szCs w:val="22"/>
        </w:rPr>
      </w:pPr>
    </w:p>
    <w:p w:rsidR="00DE18D2" w:rsidRPr="007828C4" w:rsidRDefault="00DE18D2" w:rsidP="00D66945">
      <w:pPr>
        <w:rPr>
          <w:rFonts w:eastAsia="Arial Unicode MS" w:cs="Arial"/>
          <w:b/>
          <w:sz w:val="28"/>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2016/17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0.7</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Refunds to members leaving service</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0.6</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14.4</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Individual transfers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17.3</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0.6</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Group transfers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18"/>
              </w:rPr>
              <w:t>15.7</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17.9</w:t>
            </w:r>
          </w:p>
        </w:tc>
      </w:tr>
    </w:tbl>
    <w:p w:rsidR="00D66945" w:rsidRPr="007828C4" w:rsidRDefault="00D66945" w:rsidP="00D66945">
      <w:pPr>
        <w:rPr>
          <w:rFonts w:eastAsia="Arial Unicode MS" w:cs="Arial"/>
          <w:b/>
          <w:sz w:val="28"/>
          <w:szCs w:val="22"/>
        </w:rPr>
      </w:pPr>
    </w:p>
    <w:p w:rsidR="00D66945" w:rsidRPr="007828C4" w:rsidRDefault="00D66945" w:rsidP="00D66945">
      <w:pPr>
        <w:numPr>
          <w:ilvl w:val="0"/>
          <w:numId w:val="6"/>
        </w:numPr>
        <w:spacing w:after="0"/>
        <w:ind w:left="862" w:hanging="862"/>
        <w:rPr>
          <w:rFonts w:eastAsia="Arial Unicode MS" w:cs="Arial"/>
          <w:b/>
          <w:sz w:val="32"/>
          <w:szCs w:val="22"/>
        </w:rPr>
      </w:pPr>
      <w:r w:rsidRPr="007828C4">
        <w:rPr>
          <w:rFonts w:eastAsia="Arial Unicode MS" w:cs="Arial"/>
          <w:b/>
          <w:sz w:val="32"/>
          <w:szCs w:val="22"/>
        </w:rPr>
        <w:t>MANAGEMENT EXPENSES</w:t>
      </w:r>
    </w:p>
    <w:p w:rsidR="00D66945" w:rsidRPr="007828C4" w:rsidRDefault="00D66945" w:rsidP="00D66945">
      <w:pPr>
        <w:rPr>
          <w:rFonts w:eastAsia="Arial Unicode MS" w:cs="Arial"/>
          <w:b/>
          <w:sz w:val="22"/>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2016/17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3.2</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Fund administrative costs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3.8</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18"/>
              </w:rPr>
              <w:t>63.5</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Investment management expenses</w:t>
            </w:r>
            <w:r>
              <w:rPr>
                <w:rFonts w:eastAsia="Arial Unicode MS" w:cs="Arial"/>
                <w:sz w:val="20"/>
                <w:szCs w:val="20"/>
              </w:rPr>
              <w:t>*</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54.1</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3.7</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Oversight and governance costs</w:t>
            </w:r>
            <w:r>
              <w:rPr>
                <w:rFonts w:eastAsia="Arial Unicode MS" w:cs="Arial"/>
                <w:sz w:val="20"/>
                <w:szCs w:val="20"/>
                <w:vertAlign w:val="superscript"/>
              </w:rPr>
              <w:t>1</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4.5</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18"/>
              </w:rPr>
              <w:t>70.4</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62.4</w:t>
            </w:r>
          </w:p>
        </w:tc>
      </w:tr>
    </w:tbl>
    <w:p w:rsidR="00D66945" w:rsidRPr="007828C4" w:rsidRDefault="00D66945" w:rsidP="00D66945">
      <w:pPr>
        <w:rPr>
          <w:rFonts w:eastAsia="Arial Unicode MS" w:cs="Arial"/>
          <w:b/>
          <w:sz w:val="22"/>
          <w:szCs w:val="22"/>
        </w:rPr>
      </w:pPr>
    </w:p>
    <w:p w:rsidR="00D66945" w:rsidRPr="00A81F61" w:rsidRDefault="00D66945" w:rsidP="00D66945">
      <w:pPr>
        <w:keepNext/>
        <w:outlineLvl w:val="4"/>
        <w:rPr>
          <w:rFonts w:eastAsia="Arial Unicode MS" w:cs="Arial"/>
          <w:bCs/>
          <w:sz w:val="20"/>
          <w:szCs w:val="20"/>
        </w:rPr>
      </w:pPr>
      <w:r>
        <w:rPr>
          <w:rFonts w:eastAsia="Arial Unicode MS" w:cs="Arial"/>
          <w:bCs/>
          <w:sz w:val="20"/>
          <w:szCs w:val="20"/>
        </w:rPr>
        <w:t xml:space="preserve">*The 2016/17 comparatives for management expenses have been restated to include additional fees previously netted off investment value, in line with CIPFA's </w:t>
      </w:r>
      <w:r>
        <w:rPr>
          <w:rFonts w:eastAsia="Arial Unicode MS" w:cs="Arial"/>
          <w:bCs/>
          <w:i/>
          <w:sz w:val="20"/>
          <w:szCs w:val="20"/>
        </w:rPr>
        <w:t>Accounting for Local Government Pension Scheme Management Expenses (2016).</w:t>
      </w:r>
      <w:r>
        <w:rPr>
          <w:rFonts w:eastAsia="Arial Unicode MS" w:cs="Arial"/>
          <w:bCs/>
          <w:sz w:val="20"/>
          <w:szCs w:val="20"/>
        </w:rPr>
        <w:t xml:space="preserve">  This restatement has an equal impact on management expenses and the change in the market value of investments.  There is no impact on the overall net assets of the scheme.</w:t>
      </w:r>
    </w:p>
    <w:p w:rsidR="00D66945" w:rsidRPr="0003472A" w:rsidRDefault="00D66945" w:rsidP="00D66945">
      <w:pPr>
        <w:spacing w:line="231" w:lineRule="atLeast"/>
        <w:rPr>
          <w:rFonts w:eastAsia="Arial Unicode MS" w:cs="Arial"/>
          <w:sz w:val="20"/>
          <w:szCs w:val="20"/>
          <w:lang w:eastAsia="en-GB"/>
        </w:rPr>
      </w:pPr>
      <w:r w:rsidRPr="0003472A">
        <w:rPr>
          <w:rFonts w:eastAsia="Arial Unicode MS" w:cs="Arial"/>
          <w:sz w:val="20"/>
          <w:szCs w:val="20"/>
          <w:vertAlign w:val="superscript"/>
          <w:lang w:eastAsia="en-GB"/>
        </w:rPr>
        <w:t>1</w:t>
      </w:r>
      <w:r w:rsidRPr="0003472A">
        <w:rPr>
          <w:rFonts w:eastAsia="Arial Unicode MS" w:cs="Arial"/>
          <w:sz w:val="20"/>
          <w:szCs w:val="20"/>
          <w:lang w:eastAsia="en-GB"/>
        </w:rPr>
        <w:t>Oversight and governance costs above include external audit fees which amounted to £34,169 (2016/17: £34,169)</w:t>
      </w:r>
    </w:p>
    <w:p w:rsidR="00D66945" w:rsidRPr="007828C4" w:rsidRDefault="00D66945" w:rsidP="00D66945">
      <w:pPr>
        <w:spacing w:line="231" w:lineRule="atLeast"/>
        <w:rPr>
          <w:rFonts w:eastAsia="Arial Unicode MS" w:cs="Arial"/>
          <w:sz w:val="22"/>
          <w:szCs w:val="22"/>
          <w:lang w:eastAsia="en-GB"/>
        </w:rPr>
      </w:pPr>
    </w:p>
    <w:p w:rsidR="00D66945" w:rsidRPr="007828C4" w:rsidRDefault="00D66945" w:rsidP="00D66945">
      <w:pPr>
        <w:rPr>
          <w:rFonts w:eastAsia="Arial Unicode MS" w:cs="Arial"/>
          <w:b/>
          <w:sz w:val="32"/>
          <w:szCs w:val="22"/>
        </w:rPr>
      </w:pPr>
      <w:r w:rsidRPr="007828C4">
        <w:rPr>
          <w:rFonts w:eastAsia="Arial Unicode MS" w:cs="Arial"/>
          <w:b/>
          <w:sz w:val="32"/>
          <w:szCs w:val="22"/>
        </w:rPr>
        <w:t>10.1</w:t>
      </w:r>
      <w:r w:rsidRPr="007828C4">
        <w:rPr>
          <w:rFonts w:eastAsia="Arial Unicode MS" w:cs="Arial"/>
          <w:sz w:val="32"/>
          <w:szCs w:val="22"/>
        </w:rPr>
        <w:t xml:space="preserve"> </w:t>
      </w:r>
      <w:r w:rsidRPr="007828C4">
        <w:rPr>
          <w:rFonts w:eastAsia="Arial Unicode MS" w:cs="Arial"/>
          <w:b/>
          <w:sz w:val="32"/>
          <w:szCs w:val="22"/>
        </w:rPr>
        <w:tab/>
        <w:t>Investment management expenses</w:t>
      </w:r>
    </w:p>
    <w:p w:rsidR="00D66945" w:rsidRPr="007828C4" w:rsidRDefault="00D66945" w:rsidP="00D66945">
      <w:pPr>
        <w:rPr>
          <w:rFonts w:eastAsia="Arial Unicode MS" w:cs="Arial"/>
          <w:b/>
          <w:sz w:val="22"/>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2016/17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18"/>
              </w:rPr>
              <w:t>1.1</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Transaction costs</w:t>
            </w:r>
            <w:r>
              <w:rPr>
                <w:rFonts w:eastAsia="Arial Unicode MS" w:cs="Arial"/>
                <w:sz w:val="20"/>
                <w:szCs w:val="20"/>
              </w:rPr>
              <w:t>*</w:t>
            </w:r>
          </w:p>
        </w:tc>
        <w:tc>
          <w:tcPr>
            <w:tcW w:w="1701" w:type="dxa"/>
            <w:shd w:val="clear" w:color="auto" w:fill="auto"/>
          </w:tcPr>
          <w:p w:rsidR="00D66945" w:rsidRPr="0003472A" w:rsidRDefault="00D66945" w:rsidP="00A33453">
            <w:pPr>
              <w:tabs>
                <w:tab w:val="left" w:pos="2160"/>
                <w:tab w:val="left" w:pos="6885"/>
              </w:tabs>
              <w:spacing w:after="60"/>
              <w:jc w:val="right"/>
              <w:rPr>
                <w:rFonts w:eastAsia="Arial Unicode MS" w:cs="Arial"/>
                <w:sz w:val="20"/>
                <w:szCs w:val="18"/>
              </w:rPr>
            </w:pPr>
            <w:r w:rsidRPr="0003472A">
              <w:rPr>
                <w:rFonts w:eastAsia="Arial Unicode MS" w:cs="Arial"/>
                <w:sz w:val="20"/>
                <w:szCs w:val="18"/>
              </w:rPr>
              <w:t>0.4</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18"/>
              </w:rPr>
              <w:t>42.7</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Fund value based management fees</w:t>
            </w:r>
            <w:r w:rsidRPr="007828C4">
              <w:rPr>
                <w:rFonts w:eastAsia="Arial Unicode MS" w:cs="Arial"/>
                <w:sz w:val="20"/>
                <w:szCs w:val="20"/>
                <w:vertAlign w:val="superscript"/>
              </w:rPr>
              <w:t>1</w:t>
            </w:r>
            <w:r>
              <w:rPr>
                <w:rFonts w:eastAsia="Arial Unicode MS" w:cs="Arial"/>
                <w:sz w:val="20"/>
                <w:szCs w:val="20"/>
                <w:vertAlign w:val="superscript"/>
              </w:rPr>
              <w:t xml:space="preserve"> *</w:t>
            </w:r>
          </w:p>
        </w:tc>
        <w:tc>
          <w:tcPr>
            <w:tcW w:w="1701" w:type="dxa"/>
            <w:shd w:val="clear" w:color="auto" w:fill="auto"/>
          </w:tcPr>
          <w:p w:rsidR="00D66945" w:rsidRPr="0003472A" w:rsidRDefault="00D66945" w:rsidP="00A33453">
            <w:pPr>
              <w:tabs>
                <w:tab w:val="left" w:pos="2160"/>
                <w:tab w:val="left" w:pos="6885"/>
              </w:tabs>
              <w:spacing w:after="60"/>
              <w:jc w:val="right"/>
              <w:rPr>
                <w:rFonts w:eastAsia="Arial Unicode MS" w:cs="Arial"/>
                <w:sz w:val="20"/>
                <w:szCs w:val="18"/>
              </w:rPr>
            </w:pPr>
            <w:r w:rsidRPr="0003472A">
              <w:rPr>
                <w:rFonts w:eastAsia="Arial Unicode MS" w:cs="Arial"/>
                <w:sz w:val="20"/>
                <w:szCs w:val="18"/>
              </w:rPr>
              <w:t>41.8</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2.0</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 xml:space="preserve">Transition </w:t>
            </w:r>
            <w:r w:rsidRPr="00B45EE9">
              <w:rPr>
                <w:rFonts w:eastAsia="Arial Unicode MS" w:cs="Arial"/>
                <w:sz w:val="20"/>
                <w:szCs w:val="20"/>
              </w:rPr>
              <w:t>costs</w:t>
            </w:r>
            <w:r w:rsidRPr="00B45EE9">
              <w:rPr>
                <w:rFonts w:eastAsia="Arial Unicode MS" w:cs="Arial"/>
                <w:sz w:val="20"/>
                <w:szCs w:val="20"/>
                <w:vertAlign w:val="superscript"/>
              </w:rPr>
              <w:t>2</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0.3</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18"/>
              </w:rPr>
              <w:t>17.5</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Performance related fees</w:t>
            </w:r>
            <w:r>
              <w:rPr>
                <w:rFonts w:eastAsia="Arial Unicode MS" w:cs="Arial"/>
                <w:sz w:val="20"/>
                <w:szCs w:val="20"/>
              </w:rPr>
              <w:t>*</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11.5</w:t>
            </w:r>
          </w:p>
        </w:tc>
      </w:tr>
      <w:tr w:rsidR="00D66945" w:rsidRPr="007828C4" w:rsidTr="00A33453">
        <w:trPr>
          <w:trHeight w:val="431"/>
        </w:trPr>
        <w:tc>
          <w:tcPr>
            <w:tcW w:w="1717" w:type="dxa"/>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0.2</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Custody fees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0.1</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18"/>
              </w:rPr>
              <w:t>63.5</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54.1</w:t>
            </w:r>
          </w:p>
        </w:tc>
      </w:tr>
    </w:tbl>
    <w:p w:rsidR="00D66945" w:rsidRPr="00A81F61" w:rsidRDefault="00D66945" w:rsidP="00D66945">
      <w:pPr>
        <w:keepNext/>
        <w:outlineLvl w:val="4"/>
        <w:rPr>
          <w:rFonts w:eastAsia="Arial Unicode MS" w:cs="Arial"/>
          <w:bCs/>
          <w:sz w:val="20"/>
          <w:szCs w:val="20"/>
        </w:rPr>
      </w:pPr>
      <w:r>
        <w:rPr>
          <w:rFonts w:eastAsia="Arial Unicode MS" w:cs="Arial"/>
          <w:b/>
          <w:sz w:val="22"/>
          <w:szCs w:val="22"/>
        </w:rPr>
        <w:t>*</w:t>
      </w:r>
      <w:r>
        <w:rPr>
          <w:rFonts w:eastAsia="Arial Unicode MS" w:cs="Arial"/>
          <w:bCs/>
          <w:sz w:val="20"/>
          <w:szCs w:val="20"/>
        </w:rPr>
        <w:t xml:space="preserve">The 2016/17 comparatives transaction costs, fund value based management fees and performance related fees have been restated to include additional fees previously netted off investment value, in line with CIPFA's </w:t>
      </w:r>
      <w:r>
        <w:rPr>
          <w:rFonts w:eastAsia="Arial Unicode MS" w:cs="Arial"/>
          <w:bCs/>
          <w:i/>
          <w:sz w:val="20"/>
          <w:szCs w:val="20"/>
        </w:rPr>
        <w:t>Accounting for Local Government Pension Scheme Management Expenses (2016).</w:t>
      </w:r>
      <w:r>
        <w:rPr>
          <w:rFonts w:eastAsia="Arial Unicode MS" w:cs="Arial"/>
          <w:bCs/>
          <w:sz w:val="20"/>
          <w:szCs w:val="20"/>
        </w:rPr>
        <w:t xml:space="preserve">  This restatement has an equal impact on management expenses and the change in the market value of investments.  There is no impact on the overall net assets of the scheme.</w:t>
      </w:r>
    </w:p>
    <w:p w:rsidR="00D66945" w:rsidRDefault="00D66945" w:rsidP="00D66945">
      <w:pPr>
        <w:rPr>
          <w:rFonts w:eastAsia="Arial Unicode MS" w:cs="Arial"/>
          <w:sz w:val="22"/>
          <w:szCs w:val="22"/>
        </w:rPr>
      </w:pPr>
      <w:r w:rsidRPr="007828C4">
        <w:rPr>
          <w:rFonts w:eastAsia="Arial Unicode MS" w:cs="Arial"/>
          <w:sz w:val="22"/>
          <w:szCs w:val="22"/>
          <w:vertAlign w:val="superscript"/>
        </w:rPr>
        <w:t>1</w:t>
      </w:r>
      <w:r w:rsidRPr="007828C4">
        <w:rPr>
          <w:rFonts w:eastAsia="Arial Unicode MS" w:cs="Arial"/>
          <w:sz w:val="22"/>
          <w:szCs w:val="22"/>
        </w:rPr>
        <w:t xml:space="preserve"> </w:t>
      </w:r>
      <w:r w:rsidRPr="0003472A">
        <w:rPr>
          <w:rFonts w:eastAsia="Arial Unicode MS" w:cs="Arial"/>
          <w:sz w:val="20"/>
          <w:szCs w:val="20"/>
        </w:rPr>
        <w:t>Fund value based management fees include costs invoiced directly to the Fund by investment managers and fees accounted for by investment managers within net asset value and recognised in the fund account in accordance with CIPFA guidance.  Fees are charged as a percentage of the value of assets held by each manager.  In addition to these costs, indirect costs are incurred through the bid-offer spread on investments sales and purchases. These are reflected in the cost of investment acquisitions and in the proceeds from the sales of investments</w:t>
      </w:r>
      <w:r w:rsidRPr="007828C4">
        <w:rPr>
          <w:rFonts w:eastAsia="Arial Unicode MS" w:cs="Arial"/>
          <w:sz w:val="22"/>
          <w:szCs w:val="22"/>
        </w:rPr>
        <w:t>.</w:t>
      </w:r>
    </w:p>
    <w:p w:rsidR="00D66945" w:rsidRPr="0003472A" w:rsidRDefault="00D66945" w:rsidP="00D66945">
      <w:pPr>
        <w:spacing w:line="231" w:lineRule="atLeast"/>
        <w:rPr>
          <w:rFonts w:eastAsia="Arial Unicode MS" w:cs="Arial"/>
          <w:sz w:val="20"/>
          <w:szCs w:val="20"/>
          <w:lang w:eastAsia="en-GB"/>
        </w:rPr>
      </w:pPr>
      <w:r w:rsidRPr="0003472A">
        <w:rPr>
          <w:rFonts w:eastAsia="Arial Unicode MS" w:cs="Arial"/>
          <w:sz w:val="20"/>
          <w:szCs w:val="20"/>
          <w:vertAlign w:val="superscript"/>
          <w:lang w:eastAsia="en-GB"/>
        </w:rPr>
        <w:t>2</w:t>
      </w:r>
      <w:r w:rsidRPr="0003472A">
        <w:rPr>
          <w:rFonts w:eastAsia="Arial Unicode MS" w:cs="Arial"/>
          <w:sz w:val="20"/>
          <w:szCs w:val="20"/>
          <w:lang w:eastAsia="en-GB"/>
        </w:rPr>
        <w:t xml:space="preserve">Transition costs of £0.3m (2016/17: £2.0m), relate to infrastructure, private equity and credit portfolios transitioned to pooled funds within Local Pensions Partnership Investments Ltd during the year. </w:t>
      </w:r>
    </w:p>
    <w:p w:rsidR="00D66945" w:rsidRDefault="00D66945" w:rsidP="00D66945">
      <w:pPr>
        <w:spacing w:line="231" w:lineRule="atLeast"/>
        <w:rPr>
          <w:rFonts w:eastAsia="Arial Unicode MS" w:cs="Arial"/>
          <w:sz w:val="22"/>
          <w:szCs w:val="22"/>
          <w:lang w:eastAsia="en-GB"/>
        </w:rPr>
      </w:pPr>
    </w:p>
    <w:p w:rsidR="00DE18D2" w:rsidRDefault="00DE18D2" w:rsidP="00D66945">
      <w:pPr>
        <w:spacing w:line="231" w:lineRule="atLeast"/>
        <w:rPr>
          <w:rFonts w:eastAsia="Arial Unicode MS" w:cs="Arial"/>
          <w:sz w:val="22"/>
          <w:szCs w:val="22"/>
          <w:lang w:eastAsia="en-GB"/>
        </w:rPr>
      </w:pPr>
    </w:p>
    <w:p w:rsidR="00DE18D2" w:rsidRDefault="00DE18D2" w:rsidP="00D66945">
      <w:pPr>
        <w:spacing w:line="231" w:lineRule="atLeast"/>
        <w:rPr>
          <w:rFonts w:eastAsia="Arial Unicode MS" w:cs="Arial"/>
          <w:sz w:val="22"/>
          <w:szCs w:val="22"/>
          <w:lang w:eastAsia="en-GB"/>
        </w:rPr>
      </w:pPr>
    </w:p>
    <w:p w:rsidR="00D66945" w:rsidRPr="007828C4" w:rsidRDefault="00D66945" w:rsidP="00D66945">
      <w:pPr>
        <w:rPr>
          <w:rFonts w:eastAsia="Arial Unicode MS" w:cs="Arial"/>
          <w:sz w:val="22"/>
          <w:szCs w:val="22"/>
        </w:rPr>
      </w:pPr>
    </w:p>
    <w:p w:rsidR="00D66945" w:rsidRPr="007828C4" w:rsidRDefault="00D66945" w:rsidP="00D66945">
      <w:pPr>
        <w:numPr>
          <w:ilvl w:val="0"/>
          <w:numId w:val="22"/>
        </w:numPr>
        <w:tabs>
          <w:tab w:val="clear" w:pos="1004"/>
          <w:tab w:val="num" w:pos="862"/>
        </w:tabs>
        <w:spacing w:after="0"/>
        <w:ind w:left="862"/>
        <w:rPr>
          <w:rFonts w:eastAsia="Arial Unicode MS" w:cs="Arial"/>
          <w:sz w:val="32"/>
          <w:szCs w:val="22"/>
        </w:rPr>
      </w:pPr>
      <w:r w:rsidRPr="007828C4">
        <w:rPr>
          <w:rFonts w:eastAsia="Arial Unicode MS" w:cs="Arial"/>
          <w:b/>
          <w:sz w:val="32"/>
          <w:szCs w:val="22"/>
        </w:rPr>
        <w:t>INVESTMENT INCOME</w:t>
      </w:r>
    </w:p>
    <w:p w:rsidR="00D66945" w:rsidRPr="007828C4" w:rsidRDefault="00D66945" w:rsidP="00D66945">
      <w:pPr>
        <w:ind w:left="720"/>
        <w:rPr>
          <w:rFonts w:eastAsia="Arial Unicode MS" w:cs="Arial"/>
          <w:sz w:val="22"/>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Pr>
                <w:rFonts w:eastAsia="Arial Unicode MS" w:cs="Arial"/>
                <w:b/>
                <w:sz w:val="20"/>
                <w:szCs w:val="18"/>
              </w:rPr>
              <w:t>2016/17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482"/>
        </w:trPr>
        <w:tc>
          <w:tcPr>
            <w:tcW w:w="1717"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1.4</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Fixed interest securities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3.3</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32.0</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Equity dividends</w:t>
            </w:r>
            <w:r>
              <w:rPr>
                <w:rFonts w:eastAsia="Arial Unicode MS" w:cs="Arial"/>
                <w:sz w:val="20"/>
                <w:szCs w:val="20"/>
              </w:rPr>
              <w:t>*</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1.5</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Index linked securities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0.8</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43.1</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Pooled investment vehicles</w:t>
            </w:r>
            <w:r w:rsidRPr="00953B0F">
              <w:rPr>
                <w:rFonts w:eastAsia="Arial Unicode MS" w:cs="Arial"/>
                <w:sz w:val="20"/>
                <w:szCs w:val="20"/>
              </w:rPr>
              <w:t>**</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103.4</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18"/>
              </w:rPr>
              <w:t>2.2</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 xml:space="preserve">Pooled property </w:t>
            </w:r>
            <w:r w:rsidRPr="00953B0F">
              <w:rPr>
                <w:rFonts w:eastAsia="Arial Unicode MS" w:cs="Arial"/>
                <w:sz w:val="20"/>
                <w:szCs w:val="20"/>
              </w:rPr>
              <w:t>investments**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2.2</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28.2</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Net rents from properties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28.9</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0.7</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Interest on cash deposits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0.1</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0.8</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953B0F">
              <w:rPr>
                <w:rFonts w:eastAsia="Arial Unicode MS" w:cs="Arial"/>
                <w:sz w:val="20"/>
                <w:szCs w:val="20"/>
              </w:rPr>
              <w:t>Other***</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109.9</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r w:rsidRPr="007828C4">
              <w:rPr>
                <w:rFonts w:eastAsia="Arial Unicode MS" w:cs="Arial"/>
                <w:b/>
                <w:sz w:val="20"/>
                <w:szCs w:val="18"/>
              </w:rPr>
              <w:t>Total before taxes</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138.7</w:t>
            </w:r>
          </w:p>
        </w:tc>
      </w:tr>
    </w:tbl>
    <w:p w:rsidR="00D66945" w:rsidRPr="007828C4" w:rsidRDefault="00D66945" w:rsidP="00D66945">
      <w:pPr>
        <w:ind w:left="720"/>
        <w:rPr>
          <w:rFonts w:eastAsia="Arial Unicode MS" w:cs="Arial"/>
          <w:sz w:val="22"/>
          <w:szCs w:val="22"/>
        </w:rPr>
      </w:pPr>
    </w:p>
    <w:p w:rsidR="00D66945" w:rsidRPr="00FB63AB" w:rsidRDefault="00D66945" w:rsidP="00D66945">
      <w:pPr>
        <w:pStyle w:val="ListParagraph"/>
        <w:ind w:left="0"/>
        <w:rPr>
          <w:rFonts w:eastAsia="Arial Unicode MS" w:cs="Arial"/>
          <w:sz w:val="20"/>
          <w:szCs w:val="20"/>
        </w:rPr>
      </w:pPr>
      <w:r>
        <w:rPr>
          <w:rFonts w:eastAsia="Arial Unicode MS" w:cs="Arial"/>
          <w:sz w:val="22"/>
          <w:szCs w:val="22"/>
        </w:rPr>
        <w:t>*</w:t>
      </w:r>
      <w:r w:rsidRPr="00FB63AB">
        <w:rPr>
          <w:rFonts w:eastAsia="Arial Unicode MS" w:cs="Arial"/>
          <w:sz w:val="20"/>
          <w:szCs w:val="20"/>
        </w:rPr>
        <w:t>Income from equity dividends is included within income from pooled investment vehicles following the transition of global equities during the year ended 31 March 2017.</w:t>
      </w:r>
    </w:p>
    <w:p w:rsidR="00D66945" w:rsidRPr="00FB63AB" w:rsidRDefault="00D66945" w:rsidP="00D66945">
      <w:pPr>
        <w:pStyle w:val="ListParagraph"/>
        <w:ind w:left="0"/>
        <w:rPr>
          <w:rFonts w:eastAsia="Arial Unicode MS" w:cs="Arial"/>
          <w:sz w:val="20"/>
          <w:szCs w:val="20"/>
        </w:rPr>
      </w:pPr>
    </w:p>
    <w:p w:rsidR="00D66945" w:rsidRPr="00FB63AB" w:rsidRDefault="00D66945" w:rsidP="00D66945">
      <w:pPr>
        <w:pStyle w:val="ListParagraph"/>
        <w:ind w:left="0"/>
        <w:rPr>
          <w:rFonts w:eastAsia="Arial Unicode MS" w:cs="Arial"/>
          <w:sz w:val="20"/>
          <w:szCs w:val="20"/>
        </w:rPr>
      </w:pPr>
      <w:r w:rsidRPr="00953B0F">
        <w:rPr>
          <w:rFonts w:eastAsia="Arial Unicode MS" w:cs="Arial"/>
          <w:sz w:val="22"/>
          <w:szCs w:val="22"/>
        </w:rPr>
        <w:t>** £</w:t>
      </w:r>
      <w:r w:rsidRPr="00FB63AB">
        <w:rPr>
          <w:rFonts w:eastAsia="Arial Unicode MS" w:cs="Arial"/>
          <w:sz w:val="20"/>
          <w:szCs w:val="20"/>
        </w:rPr>
        <w:t>9.0m income from pooled investment vehicles has been reclassified from income from pooled property investments for the year ended 31 March 2017.</w:t>
      </w:r>
    </w:p>
    <w:p w:rsidR="00D66945" w:rsidRPr="00FB63AB" w:rsidRDefault="00D66945" w:rsidP="00D66945">
      <w:pPr>
        <w:pStyle w:val="ListParagraph"/>
        <w:ind w:left="0"/>
        <w:rPr>
          <w:rFonts w:eastAsia="Arial Unicode MS" w:cs="Arial"/>
          <w:sz w:val="20"/>
          <w:szCs w:val="20"/>
        </w:rPr>
      </w:pPr>
    </w:p>
    <w:p w:rsidR="00D66945" w:rsidRPr="00FB63AB" w:rsidRDefault="00D66945" w:rsidP="00D66945">
      <w:pPr>
        <w:pStyle w:val="ListParagraph"/>
        <w:ind w:left="0"/>
        <w:rPr>
          <w:rFonts w:eastAsia="Arial Unicode MS" w:cs="Arial"/>
          <w:sz w:val="20"/>
          <w:szCs w:val="20"/>
        </w:rPr>
      </w:pPr>
      <w:r w:rsidRPr="00FB63AB">
        <w:rPr>
          <w:rFonts w:eastAsia="Arial Unicode MS" w:cs="Arial"/>
          <w:sz w:val="20"/>
          <w:szCs w:val="20"/>
        </w:rPr>
        <w:t>***Stock lending income of £0.8m was included within investment income in the year ended 31 March 2017.  Since the pooling of equities there is no stock lending income attributable to the Fund and any equivalent income is credited to the global equity fund held with LPPI.</w:t>
      </w:r>
    </w:p>
    <w:p w:rsidR="00D66945" w:rsidRPr="00DC17C6" w:rsidRDefault="00D66945" w:rsidP="00D66945">
      <w:pPr>
        <w:pStyle w:val="ListParagraph"/>
        <w:ind w:left="1353"/>
        <w:rPr>
          <w:rFonts w:eastAsia="Arial Unicode MS" w:cs="Arial"/>
          <w:sz w:val="22"/>
          <w:szCs w:val="22"/>
        </w:rPr>
      </w:pPr>
    </w:p>
    <w:p w:rsidR="00D66945" w:rsidRDefault="00D66945" w:rsidP="00D66945">
      <w:pPr>
        <w:ind w:left="720"/>
        <w:rPr>
          <w:rFonts w:eastAsia="Arial Unicode MS" w:cs="Arial"/>
          <w:sz w:val="22"/>
          <w:szCs w:val="22"/>
        </w:rPr>
      </w:pPr>
    </w:p>
    <w:p w:rsidR="00D66945" w:rsidRPr="007828C4" w:rsidRDefault="00D66945" w:rsidP="00D66945">
      <w:pPr>
        <w:ind w:left="720"/>
        <w:rPr>
          <w:rFonts w:eastAsia="Arial Unicode MS" w:cs="Arial"/>
          <w:sz w:val="22"/>
          <w:szCs w:val="22"/>
        </w:rPr>
      </w:pPr>
    </w:p>
    <w:p w:rsidR="00D66945" w:rsidRPr="007828C4" w:rsidRDefault="00D66945" w:rsidP="00D66945">
      <w:pPr>
        <w:numPr>
          <w:ilvl w:val="0"/>
          <w:numId w:val="22"/>
        </w:numPr>
        <w:tabs>
          <w:tab w:val="clear" w:pos="1004"/>
          <w:tab w:val="num" w:pos="862"/>
        </w:tabs>
        <w:spacing w:after="0"/>
        <w:ind w:left="862" w:hanging="862"/>
        <w:rPr>
          <w:rFonts w:eastAsia="Arial Unicode MS" w:cs="Arial"/>
          <w:b/>
          <w:sz w:val="32"/>
          <w:szCs w:val="22"/>
        </w:rPr>
      </w:pPr>
      <w:r w:rsidRPr="007828C4">
        <w:rPr>
          <w:rFonts w:eastAsia="Arial Unicode MS" w:cs="Arial"/>
          <w:b/>
          <w:sz w:val="32"/>
          <w:szCs w:val="22"/>
        </w:rPr>
        <w:t>PROPERTY INCOME</w:t>
      </w:r>
    </w:p>
    <w:p w:rsidR="00D66945" w:rsidRPr="007828C4" w:rsidRDefault="00D66945" w:rsidP="00D66945">
      <w:pPr>
        <w:ind w:left="862"/>
        <w:rPr>
          <w:rFonts w:eastAsia="Arial Unicode MS" w:cs="Arial"/>
          <w:b/>
          <w:sz w:val="22"/>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Pr>
                <w:rFonts w:eastAsia="Arial Unicode MS" w:cs="Arial"/>
                <w:b/>
                <w:sz w:val="20"/>
                <w:szCs w:val="18"/>
              </w:rPr>
              <w:t>2016/17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31.3</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Rental income</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32.2</w:t>
            </w:r>
          </w:p>
        </w:tc>
      </w:tr>
      <w:tr w:rsidR="00D66945" w:rsidRPr="007828C4" w:rsidTr="00A33453">
        <w:trPr>
          <w:trHeight w:val="431"/>
        </w:trPr>
        <w:tc>
          <w:tcPr>
            <w:tcW w:w="1717" w:type="dxa"/>
            <w:tcBorders>
              <w:bottom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(3.1)</w:t>
            </w:r>
          </w:p>
        </w:tc>
        <w:tc>
          <w:tcPr>
            <w:tcW w:w="6221" w:type="dxa"/>
            <w:tcBorders>
              <w:bottom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Direct operating expenses</w:t>
            </w:r>
          </w:p>
        </w:tc>
        <w:tc>
          <w:tcPr>
            <w:tcW w:w="1701" w:type="dxa"/>
            <w:tcBorders>
              <w:bottom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(3.3)</w:t>
            </w:r>
          </w:p>
        </w:tc>
      </w:tr>
      <w:tr w:rsidR="00D66945" w:rsidRPr="007828C4" w:rsidTr="00A33453">
        <w:trPr>
          <w:trHeight w:val="431"/>
        </w:trPr>
        <w:tc>
          <w:tcPr>
            <w:tcW w:w="1717" w:type="dxa"/>
            <w:tcBorders>
              <w:bottom w:val="single" w:sz="4" w:space="0" w:color="auto"/>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28.2</w:t>
            </w:r>
          </w:p>
        </w:tc>
        <w:tc>
          <w:tcPr>
            <w:tcW w:w="6221" w:type="dxa"/>
            <w:tcBorders>
              <w:bottom w:val="single" w:sz="4" w:space="0" w:color="auto"/>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0"/>
              </w:rPr>
              <w:t>Net income</w:t>
            </w:r>
          </w:p>
        </w:tc>
        <w:tc>
          <w:tcPr>
            <w:tcW w:w="1701" w:type="dxa"/>
            <w:tcBorders>
              <w:bottom w:val="single" w:sz="4" w:space="0" w:color="auto"/>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28.9</w:t>
            </w:r>
          </w:p>
        </w:tc>
      </w:tr>
    </w:tbl>
    <w:p w:rsidR="00D66945" w:rsidRPr="007828C4" w:rsidRDefault="00D66945" w:rsidP="00D66945">
      <w:pPr>
        <w:ind w:left="862"/>
        <w:rPr>
          <w:rFonts w:eastAsia="Arial Unicode MS" w:cs="Arial"/>
          <w:b/>
          <w:sz w:val="22"/>
          <w:szCs w:val="22"/>
        </w:rPr>
      </w:pPr>
    </w:p>
    <w:p w:rsidR="00D66945" w:rsidRDefault="00D66945" w:rsidP="00D66945">
      <w:pPr>
        <w:tabs>
          <w:tab w:val="left" w:pos="1080"/>
        </w:tabs>
        <w:rPr>
          <w:rFonts w:eastAsia="Arial Unicode MS" w:cs="Arial"/>
          <w:sz w:val="22"/>
          <w:szCs w:val="22"/>
          <w:highlight w:val="magenta"/>
        </w:rPr>
      </w:pPr>
    </w:p>
    <w:p w:rsidR="00DE18D2" w:rsidRDefault="00DE18D2" w:rsidP="00D66945">
      <w:pPr>
        <w:tabs>
          <w:tab w:val="left" w:pos="1080"/>
        </w:tabs>
        <w:rPr>
          <w:rFonts w:eastAsia="Arial Unicode MS" w:cs="Arial"/>
          <w:sz w:val="22"/>
          <w:szCs w:val="22"/>
          <w:highlight w:val="magenta"/>
        </w:rPr>
      </w:pPr>
    </w:p>
    <w:p w:rsidR="00DE18D2" w:rsidRPr="007828C4" w:rsidRDefault="00DE18D2" w:rsidP="00D66945">
      <w:pPr>
        <w:tabs>
          <w:tab w:val="left" w:pos="1080"/>
        </w:tabs>
        <w:rPr>
          <w:rFonts w:eastAsia="Arial Unicode MS" w:cs="Arial"/>
          <w:sz w:val="22"/>
          <w:szCs w:val="22"/>
          <w:highlight w:val="magenta"/>
        </w:rPr>
      </w:pPr>
    </w:p>
    <w:p w:rsidR="00D66945" w:rsidRDefault="00D66945" w:rsidP="00D66945">
      <w:pPr>
        <w:tabs>
          <w:tab w:val="left" w:pos="1080"/>
        </w:tabs>
        <w:rPr>
          <w:rFonts w:eastAsia="Arial Unicode MS" w:cs="Arial"/>
          <w:sz w:val="22"/>
          <w:szCs w:val="22"/>
          <w:highlight w:val="magenta"/>
        </w:rPr>
      </w:pPr>
    </w:p>
    <w:p w:rsidR="00D66945" w:rsidRPr="007828C4" w:rsidRDefault="00D66945" w:rsidP="00D66945">
      <w:pPr>
        <w:contextualSpacing/>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3</w:t>
      </w:r>
      <w:r w:rsidRPr="007828C4">
        <w:rPr>
          <w:rFonts w:eastAsia="Arial Unicode MS" w:cs="Arial"/>
          <w:b/>
          <w:sz w:val="32"/>
          <w:szCs w:val="22"/>
        </w:rPr>
        <w:t>. RECONCILIATION OF MOVEMENTS IN INVESTMENTS AND DERIVATIVES</w:t>
      </w:r>
    </w:p>
    <w:p w:rsidR="00D66945" w:rsidRDefault="00D66945" w:rsidP="00D66945">
      <w:pPr>
        <w:contextualSpacing/>
        <w:rPr>
          <w:rFonts w:eastAsia="Arial Unicode MS" w:cs="Arial"/>
          <w:b/>
          <w:sz w:val="32"/>
          <w:szCs w:val="22"/>
        </w:rPr>
      </w:pPr>
    </w:p>
    <w:p w:rsidR="00DE18D2" w:rsidRPr="007828C4" w:rsidRDefault="00DE18D2" w:rsidP="00D66945">
      <w:pPr>
        <w:contextualSpacing/>
        <w:rPr>
          <w:rFonts w:eastAsia="Arial Unicode MS" w:cs="Arial"/>
          <w:b/>
          <w:sz w:val="32"/>
          <w:szCs w:val="22"/>
        </w:rPr>
      </w:pPr>
    </w:p>
    <w:p w:rsidR="00D66945" w:rsidRPr="007828C4" w:rsidRDefault="00D66945" w:rsidP="00D66945">
      <w:pPr>
        <w:contextualSpacing/>
        <w:rPr>
          <w:rFonts w:eastAsia="Arial Unicode MS" w:cs="Arial"/>
          <w:b/>
          <w:sz w:val="32"/>
          <w:szCs w:val="22"/>
        </w:rPr>
      </w:pPr>
      <w:r>
        <w:rPr>
          <w:rFonts w:eastAsia="Arial Unicode MS" w:cs="Arial"/>
          <w:b/>
          <w:sz w:val="32"/>
          <w:szCs w:val="22"/>
        </w:rPr>
        <w:t>2017/18</w:t>
      </w:r>
    </w:p>
    <w:p w:rsidR="00D66945" w:rsidRPr="007828C4" w:rsidRDefault="00D66945" w:rsidP="00D66945">
      <w:pPr>
        <w:ind w:left="862"/>
        <w:contextualSpacing/>
        <w:rPr>
          <w:rFonts w:eastAsia="Arial Unicode MS" w:cs="Arial"/>
          <w:b/>
          <w:sz w:val="22"/>
          <w:szCs w:val="22"/>
        </w:rPr>
      </w:pPr>
    </w:p>
    <w:tbl>
      <w:tblPr>
        <w:tblStyle w:val="TableGrid2"/>
        <w:tblW w:w="0" w:type="auto"/>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710"/>
        <w:gridCol w:w="1496"/>
        <w:gridCol w:w="1640"/>
        <w:gridCol w:w="1594"/>
        <w:gridCol w:w="1514"/>
        <w:gridCol w:w="1496"/>
      </w:tblGrid>
      <w:tr w:rsidR="00D66945" w:rsidRPr="007828C4" w:rsidTr="00A33453">
        <w:tc>
          <w:tcPr>
            <w:tcW w:w="2710" w:type="dxa"/>
            <w:tcBorders>
              <w:bottom w:val="nil"/>
            </w:tcBorders>
            <w:shd w:val="clear" w:color="auto" w:fill="E7E6E6" w:themeFill="background2"/>
          </w:tcPr>
          <w:p w:rsidR="00D66945" w:rsidRPr="007828C4" w:rsidRDefault="00D66945" w:rsidP="00A33453">
            <w:pPr>
              <w:rPr>
                <w:rFonts w:eastAsia="Arial Unicode MS" w:cs="Arial"/>
                <w:b/>
                <w:sz w:val="20"/>
                <w:szCs w:val="20"/>
              </w:rPr>
            </w:pPr>
          </w:p>
        </w:tc>
        <w:tc>
          <w:tcPr>
            <w:tcW w:w="1496" w:type="dxa"/>
            <w:shd w:val="clear" w:color="auto" w:fill="E7E6E6" w:themeFill="background2"/>
          </w:tcPr>
          <w:p w:rsidR="00D66945" w:rsidRPr="007828C4" w:rsidRDefault="00D66945" w:rsidP="00A33453">
            <w:pPr>
              <w:jc w:val="right"/>
              <w:rPr>
                <w:rFonts w:eastAsia="Arial Unicode MS" w:cs="Arial"/>
                <w:b/>
                <w:sz w:val="20"/>
                <w:szCs w:val="20"/>
              </w:rPr>
            </w:pPr>
          </w:p>
          <w:p w:rsidR="00D66945" w:rsidRPr="007828C4" w:rsidRDefault="00D66945" w:rsidP="00A33453">
            <w:pPr>
              <w:jc w:val="right"/>
              <w:rPr>
                <w:rFonts w:eastAsia="Arial Unicode MS" w:cs="Arial"/>
                <w:b/>
                <w:sz w:val="20"/>
                <w:szCs w:val="20"/>
              </w:rPr>
            </w:pP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Market value as at</w:t>
            </w: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1 April 201</w:t>
            </w:r>
            <w:r>
              <w:rPr>
                <w:rFonts w:eastAsia="Arial Unicode MS" w:cs="Arial"/>
                <w:b/>
                <w:sz w:val="20"/>
                <w:szCs w:val="20"/>
              </w:rPr>
              <w:t>7</w:t>
            </w:r>
          </w:p>
        </w:tc>
        <w:tc>
          <w:tcPr>
            <w:tcW w:w="1640" w:type="dxa"/>
            <w:shd w:val="clear" w:color="auto" w:fill="E7E6E6" w:themeFill="background2"/>
          </w:tcPr>
          <w:p w:rsidR="00D66945" w:rsidRPr="007828C4" w:rsidRDefault="00D66945" w:rsidP="00A33453">
            <w:pPr>
              <w:jc w:val="right"/>
              <w:rPr>
                <w:rFonts w:eastAsia="Arial Unicode MS" w:cs="Arial"/>
                <w:b/>
                <w:sz w:val="20"/>
                <w:szCs w:val="20"/>
              </w:rPr>
            </w:pP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Purchases at cost and derivative payments</w:t>
            </w:r>
          </w:p>
        </w:tc>
        <w:tc>
          <w:tcPr>
            <w:tcW w:w="1594" w:type="dxa"/>
            <w:shd w:val="clear" w:color="auto" w:fill="E7E6E6" w:themeFill="background2"/>
          </w:tcPr>
          <w:p w:rsidR="00D66945" w:rsidRPr="007828C4" w:rsidRDefault="00D66945" w:rsidP="00A33453">
            <w:pPr>
              <w:jc w:val="right"/>
              <w:rPr>
                <w:rFonts w:eastAsia="Arial Unicode MS" w:cs="Arial"/>
                <w:b/>
                <w:sz w:val="20"/>
                <w:szCs w:val="20"/>
              </w:rPr>
            </w:pP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Sales proceeds and derivative receipts</w:t>
            </w:r>
          </w:p>
        </w:tc>
        <w:tc>
          <w:tcPr>
            <w:tcW w:w="1514" w:type="dxa"/>
            <w:shd w:val="clear" w:color="auto" w:fill="E7E6E6" w:themeFill="background2"/>
          </w:tcPr>
          <w:p w:rsidR="00D66945" w:rsidRPr="007828C4" w:rsidRDefault="00D66945" w:rsidP="00A33453">
            <w:pPr>
              <w:jc w:val="right"/>
              <w:rPr>
                <w:rFonts w:eastAsia="Arial Unicode MS" w:cs="Arial"/>
                <w:b/>
                <w:sz w:val="20"/>
                <w:szCs w:val="20"/>
              </w:rPr>
            </w:pPr>
          </w:p>
          <w:p w:rsidR="00D66945" w:rsidRPr="007828C4" w:rsidRDefault="00D66945" w:rsidP="00A33453">
            <w:pPr>
              <w:jc w:val="right"/>
              <w:rPr>
                <w:rFonts w:eastAsia="Arial Unicode MS" w:cs="Arial"/>
                <w:b/>
                <w:sz w:val="20"/>
                <w:szCs w:val="20"/>
              </w:rPr>
            </w:pPr>
          </w:p>
          <w:p w:rsidR="00D66945" w:rsidRPr="007828C4" w:rsidRDefault="00D66945" w:rsidP="00A33453">
            <w:pPr>
              <w:jc w:val="right"/>
              <w:rPr>
                <w:rFonts w:eastAsia="Arial Unicode MS" w:cs="Arial"/>
                <w:b/>
                <w:sz w:val="20"/>
                <w:szCs w:val="20"/>
              </w:rPr>
            </w:pP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Change in market value</w:t>
            </w:r>
            <w:r>
              <w:rPr>
                <w:rFonts w:eastAsia="Arial Unicode MS" w:cs="Arial"/>
                <w:b/>
                <w:sz w:val="20"/>
                <w:szCs w:val="20"/>
                <w:vertAlign w:val="superscript"/>
              </w:rPr>
              <w:t>1</w:t>
            </w:r>
          </w:p>
        </w:tc>
        <w:tc>
          <w:tcPr>
            <w:tcW w:w="1496" w:type="dxa"/>
            <w:shd w:val="clear" w:color="auto" w:fill="E7E6E6" w:themeFill="background2"/>
          </w:tcPr>
          <w:p w:rsidR="00D66945" w:rsidRPr="007828C4" w:rsidRDefault="00D66945" w:rsidP="00A33453">
            <w:pPr>
              <w:jc w:val="right"/>
              <w:rPr>
                <w:rFonts w:eastAsia="Arial Unicode MS" w:cs="Arial"/>
                <w:b/>
                <w:sz w:val="20"/>
                <w:szCs w:val="20"/>
              </w:rPr>
            </w:pP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Market value as at</w:t>
            </w: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8</w:t>
            </w:r>
          </w:p>
        </w:tc>
      </w:tr>
      <w:tr w:rsidR="00D66945" w:rsidRPr="007828C4" w:rsidTr="00A33453">
        <w:trPr>
          <w:trHeight w:val="466"/>
        </w:trPr>
        <w:tc>
          <w:tcPr>
            <w:tcW w:w="2710" w:type="dxa"/>
            <w:tcBorders>
              <w:top w:val="nil"/>
            </w:tcBorders>
            <w:shd w:val="clear" w:color="auto" w:fill="E7E6E6" w:themeFill="background2"/>
          </w:tcPr>
          <w:p w:rsidR="00D66945" w:rsidRPr="007828C4" w:rsidRDefault="00D66945" w:rsidP="00A33453">
            <w:pPr>
              <w:jc w:val="right"/>
              <w:rPr>
                <w:rFonts w:eastAsia="Arial Unicode MS" w:cs="Arial"/>
                <w:sz w:val="20"/>
                <w:szCs w:val="20"/>
              </w:rPr>
            </w:pPr>
          </w:p>
        </w:tc>
        <w:tc>
          <w:tcPr>
            <w:tcW w:w="1496"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c>
          <w:tcPr>
            <w:tcW w:w="1640"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c>
          <w:tcPr>
            <w:tcW w:w="1594"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c>
          <w:tcPr>
            <w:tcW w:w="1514"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c>
          <w:tcPr>
            <w:tcW w:w="1496"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2710" w:type="dxa"/>
          </w:tcPr>
          <w:p w:rsidR="00D66945" w:rsidRPr="007828C4" w:rsidRDefault="00D66945" w:rsidP="00A33453">
            <w:pPr>
              <w:rPr>
                <w:rFonts w:eastAsia="Arial Unicode MS" w:cs="Arial"/>
                <w:sz w:val="20"/>
                <w:szCs w:val="20"/>
              </w:rPr>
            </w:pPr>
            <w:r w:rsidRPr="007828C4">
              <w:rPr>
                <w:rFonts w:eastAsia="Arial Unicode MS" w:cs="Arial"/>
                <w:sz w:val="20"/>
                <w:szCs w:val="20"/>
              </w:rPr>
              <w:t>Fixed interest securities</w:t>
            </w:r>
          </w:p>
        </w:tc>
        <w:tc>
          <w:tcPr>
            <w:tcW w:w="1496"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132.2</w:t>
            </w:r>
          </w:p>
        </w:tc>
        <w:tc>
          <w:tcPr>
            <w:tcW w:w="1640"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341.8</w:t>
            </w:r>
          </w:p>
        </w:tc>
        <w:tc>
          <w:tcPr>
            <w:tcW w:w="1594"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(351.3)</w:t>
            </w:r>
          </w:p>
        </w:tc>
        <w:tc>
          <w:tcPr>
            <w:tcW w:w="1514"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(5.9)</w:t>
            </w:r>
          </w:p>
        </w:tc>
        <w:tc>
          <w:tcPr>
            <w:tcW w:w="1496" w:type="dxa"/>
            <w:shd w:val="clear" w:color="auto" w:fill="auto"/>
          </w:tcPr>
          <w:p w:rsidR="00D66945" w:rsidRPr="007828C4" w:rsidRDefault="00D66945" w:rsidP="00A33453">
            <w:pPr>
              <w:jc w:val="right"/>
              <w:rPr>
                <w:rFonts w:eastAsia="Arial Unicode MS" w:cs="Arial"/>
                <w:sz w:val="20"/>
                <w:szCs w:val="20"/>
              </w:rPr>
            </w:pPr>
            <w:r>
              <w:rPr>
                <w:rFonts w:eastAsia="Arial Unicode MS" w:cs="Arial"/>
                <w:sz w:val="20"/>
                <w:szCs w:val="20"/>
              </w:rPr>
              <w:t>116.8</w:t>
            </w:r>
          </w:p>
        </w:tc>
      </w:tr>
      <w:tr w:rsidR="00D66945" w:rsidRPr="007828C4" w:rsidTr="00A33453">
        <w:trPr>
          <w:trHeight w:val="431"/>
        </w:trPr>
        <w:tc>
          <w:tcPr>
            <w:tcW w:w="2710" w:type="dxa"/>
          </w:tcPr>
          <w:p w:rsidR="00D66945" w:rsidRPr="007828C4" w:rsidRDefault="00D66945" w:rsidP="00A33453">
            <w:pPr>
              <w:rPr>
                <w:rFonts w:eastAsia="Arial Unicode MS" w:cs="Arial"/>
                <w:sz w:val="20"/>
                <w:szCs w:val="20"/>
              </w:rPr>
            </w:pPr>
            <w:r w:rsidRPr="007828C4">
              <w:rPr>
                <w:rFonts w:eastAsia="Arial Unicode MS" w:cs="Arial"/>
                <w:sz w:val="20"/>
                <w:szCs w:val="20"/>
              </w:rPr>
              <w:t>Index linked securities</w:t>
            </w:r>
          </w:p>
        </w:tc>
        <w:tc>
          <w:tcPr>
            <w:tcW w:w="1496"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127.1</w:t>
            </w:r>
          </w:p>
        </w:tc>
        <w:tc>
          <w:tcPr>
            <w:tcW w:w="1640"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1,940.4</w:t>
            </w:r>
          </w:p>
        </w:tc>
        <w:tc>
          <w:tcPr>
            <w:tcW w:w="1594"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(1,889.4)</w:t>
            </w:r>
          </w:p>
        </w:tc>
        <w:tc>
          <w:tcPr>
            <w:tcW w:w="1514"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(0.1)</w:t>
            </w:r>
          </w:p>
        </w:tc>
        <w:tc>
          <w:tcPr>
            <w:tcW w:w="1496" w:type="dxa"/>
          </w:tcPr>
          <w:p w:rsidR="00D66945" w:rsidRPr="007828C4" w:rsidRDefault="00D66945" w:rsidP="00A33453">
            <w:pPr>
              <w:jc w:val="right"/>
              <w:rPr>
                <w:rFonts w:eastAsia="Arial Unicode MS" w:cs="Arial"/>
                <w:sz w:val="20"/>
                <w:szCs w:val="20"/>
              </w:rPr>
            </w:pPr>
            <w:r>
              <w:rPr>
                <w:rFonts w:eastAsia="Arial Unicode MS" w:cs="Arial"/>
                <w:sz w:val="20"/>
                <w:szCs w:val="20"/>
              </w:rPr>
              <w:t>178.0</w:t>
            </w:r>
          </w:p>
        </w:tc>
      </w:tr>
      <w:tr w:rsidR="00D66945" w:rsidRPr="007828C4" w:rsidTr="00A33453">
        <w:trPr>
          <w:trHeight w:val="451"/>
        </w:trPr>
        <w:tc>
          <w:tcPr>
            <w:tcW w:w="2710" w:type="dxa"/>
          </w:tcPr>
          <w:p w:rsidR="00D66945" w:rsidRPr="007828C4" w:rsidRDefault="00D66945" w:rsidP="00A33453">
            <w:pPr>
              <w:rPr>
                <w:rFonts w:eastAsia="Arial Unicode MS" w:cs="Arial"/>
                <w:sz w:val="20"/>
                <w:szCs w:val="20"/>
              </w:rPr>
            </w:pPr>
            <w:r w:rsidRPr="007828C4">
              <w:rPr>
                <w:rFonts w:eastAsia="Arial Unicode MS" w:cs="Arial"/>
                <w:sz w:val="20"/>
                <w:szCs w:val="20"/>
              </w:rPr>
              <w:t>Pooled investment vehicles</w:t>
            </w:r>
          </w:p>
        </w:tc>
        <w:tc>
          <w:tcPr>
            <w:tcW w:w="1496"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6,136.7</w:t>
            </w:r>
          </w:p>
        </w:tc>
        <w:tc>
          <w:tcPr>
            <w:tcW w:w="1640"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1,956.1</w:t>
            </w:r>
          </w:p>
        </w:tc>
        <w:tc>
          <w:tcPr>
            <w:tcW w:w="1594"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(1,879.5)</w:t>
            </w:r>
          </w:p>
        </w:tc>
        <w:tc>
          <w:tcPr>
            <w:tcW w:w="1514" w:type="dxa"/>
            <w:shd w:val="clear" w:color="auto" w:fill="auto"/>
          </w:tcPr>
          <w:p w:rsidR="00D66945" w:rsidRPr="0060735D" w:rsidRDefault="00D66945" w:rsidP="00A33453">
            <w:pPr>
              <w:jc w:val="right"/>
              <w:rPr>
                <w:rFonts w:eastAsia="Arial Unicode MS" w:cs="Arial"/>
                <w:sz w:val="20"/>
                <w:szCs w:val="20"/>
              </w:rPr>
            </w:pPr>
            <w:r w:rsidRPr="0060735D">
              <w:rPr>
                <w:rFonts w:eastAsia="Arial Unicode MS" w:cs="Arial"/>
                <w:sz w:val="20"/>
                <w:szCs w:val="20"/>
              </w:rPr>
              <w:t>108.2</w:t>
            </w:r>
          </w:p>
        </w:tc>
        <w:tc>
          <w:tcPr>
            <w:tcW w:w="1496" w:type="dxa"/>
            <w:shd w:val="clear" w:color="auto" w:fill="auto"/>
          </w:tcPr>
          <w:p w:rsidR="00D66945" w:rsidRPr="007828C4" w:rsidRDefault="00D66945" w:rsidP="00A33453">
            <w:pPr>
              <w:jc w:val="right"/>
              <w:rPr>
                <w:rFonts w:eastAsia="Arial Unicode MS" w:cs="Arial"/>
                <w:sz w:val="20"/>
                <w:szCs w:val="20"/>
              </w:rPr>
            </w:pPr>
            <w:r>
              <w:rPr>
                <w:rFonts w:eastAsia="Arial Unicode MS" w:cs="Arial"/>
                <w:sz w:val="20"/>
                <w:szCs w:val="20"/>
              </w:rPr>
              <w:t>6,321.5</w:t>
            </w:r>
          </w:p>
        </w:tc>
      </w:tr>
      <w:tr w:rsidR="00D66945" w:rsidRPr="007828C4" w:rsidTr="00A33453">
        <w:trPr>
          <w:trHeight w:val="431"/>
        </w:trPr>
        <w:tc>
          <w:tcPr>
            <w:tcW w:w="2710" w:type="dxa"/>
          </w:tcPr>
          <w:p w:rsidR="00D66945" w:rsidRPr="007828C4" w:rsidRDefault="00D66945" w:rsidP="00A33453">
            <w:pPr>
              <w:rPr>
                <w:rFonts w:eastAsia="Arial Unicode MS" w:cs="Arial"/>
                <w:sz w:val="20"/>
                <w:szCs w:val="20"/>
              </w:rPr>
            </w:pPr>
            <w:r w:rsidRPr="007828C4">
              <w:rPr>
                <w:rFonts w:eastAsia="Arial Unicode MS" w:cs="Arial"/>
                <w:sz w:val="20"/>
                <w:szCs w:val="20"/>
              </w:rPr>
              <w:t>Pooled property investments</w:t>
            </w:r>
          </w:p>
        </w:tc>
        <w:tc>
          <w:tcPr>
            <w:tcW w:w="1496"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99.4</w:t>
            </w:r>
          </w:p>
        </w:tc>
        <w:tc>
          <w:tcPr>
            <w:tcW w:w="1640" w:type="dxa"/>
            <w:shd w:val="clear" w:color="auto" w:fill="auto"/>
          </w:tcPr>
          <w:p w:rsidR="00D66945" w:rsidRPr="00B21CC0" w:rsidRDefault="00D66945" w:rsidP="00A33453">
            <w:pPr>
              <w:jc w:val="right"/>
              <w:rPr>
                <w:rFonts w:eastAsia="Arial Unicode MS" w:cs="Arial"/>
                <w:sz w:val="20"/>
                <w:szCs w:val="20"/>
                <w:highlight w:val="yellow"/>
              </w:rPr>
            </w:pPr>
            <w:r w:rsidRPr="00CF15CD">
              <w:rPr>
                <w:rFonts w:eastAsia="Arial Unicode MS" w:cs="Arial"/>
                <w:sz w:val="20"/>
                <w:szCs w:val="20"/>
              </w:rPr>
              <w:t>-</w:t>
            </w:r>
          </w:p>
        </w:tc>
        <w:tc>
          <w:tcPr>
            <w:tcW w:w="1594" w:type="dxa"/>
            <w:shd w:val="clear" w:color="auto" w:fill="auto"/>
          </w:tcPr>
          <w:p w:rsidR="00D66945" w:rsidRPr="007D4A82" w:rsidRDefault="00D66945" w:rsidP="00A33453">
            <w:pPr>
              <w:jc w:val="right"/>
              <w:rPr>
                <w:rFonts w:eastAsia="Arial Unicode MS" w:cs="Arial"/>
                <w:sz w:val="20"/>
                <w:szCs w:val="20"/>
              </w:rPr>
            </w:pPr>
            <w:r w:rsidRPr="007D4A82">
              <w:rPr>
                <w:rFonts w:eastAsia="Arial Unicode MS" w:cs="Arial"/>
                <w:sz w:val="20"/>
                <w:szCs w:val="20"/>
              </w:rPr>
              <w:t>(0.1)</w:t>
            </w:r>
          </w:p>
        </w:tc>
        <w:tc>
          <w:tcPr>
            <w:tcW w:w="1514" w:type="dxa"/>
            <w:shd w:val="clear" w:color="auto" w:fill="auto"/>
          </w:tcPr>
          <w:p w:rsidR="00D66945" w:rsidRPr="007D4A82" w:rsidRDefault="00D66945" w:rsidP="00A33453">
            <w:pPr>
              <w:jc w:val="right"/>
              <w:rPr>
                <w:rFonts w:eastAsia="Arial Unicode MS" w:cs="Arial"/>
                <w:sz w:val="20"/>
                <w:szCs w:val="20"/>
              </w:rPr>
            </w:pPr>
            <w:r w:rsidRPr="007D4A82">
              <w:rPr>
                <w:rFonts w:eastAsia="Arial Unicode MS" w:cs="Arial"/>
                <w:sz w:val="20"/>
                <w:szCs w:val="20"/>
              </w:rPr>
              <w:t>14.0</w:t>
            </w:r>
          </w:p>
        </w:tc>
        <w:tc>
          <w:tcPr>
            <w:tcW w:w="1496" w:type="dxa"/>
            <w:shd w:val="clear" w:color="auto" w:fill="auto"/>
          </w:tcPr>
          <w:p w:rsidR="00D66945" w:rsidRPr="007828C4" w:rsidRDefault="00D66945" w:rsidP="00A33453">
            <w:pPr>
              <w:jc w:val="right"/>
              <w:rPr>
                <w:rFonts w:eastAsia="Arial Unicode MS" w:cs="Arial"/>
                <w:sz w:val="20"/>
                <w:szCs w:val="20"/>
              </w:rPr>
            </w:pPr>
            <w:r>
              <w:rPr>
                <w:rFonts w:eastAsia="Arial Unicode MS" w:cs="Arial"/>
                <w:sz w:val="20"/>
                <w:szCs w:val="20"/>
              </w:rPr>
              <w:t>113.3</w:t>
            </w:r>
          </w:p>
        </w:tc>
      </w:tr>
      <w:tr w:rsidR="00D66945" w:rsidRPr="007828C4" w:rsidTr="00A33453">
        <w:trPr>
          <w:trHeight w:val="431"/>
        </w:trPr>
        <w:tc>
          <w:tcPr>
            <w:tcW w:w="2710" w:type="dxa"/>
          </w:tcPr>
          <w:p w:rsidR="00D66945" w:rsidRPr="007828C4" w:rsidRDefault="00D66945" w:rsidP="00A33453">
            <w:pPr>
              <w:rPr>
                <w:rFonts w:eastAsia="Arial Unicode MS" w:cs="Arial"/>
                <w:sz w:val="20"/>
                <w:szCs w:val="20"/>
              </w:rPr>
            </w:pPr>
            <w:r w:rsidRPr="007828C4">
              <w:rPr>
                <w:rFonts w:eastAsia="Arial Unicode MS" w:cs="Arial"/>
                <w:sz w:val="20"/>
                <w:szCs w:val="20"/>
              </w:rPr>
              <w:t>Direct property</w:t>
            </w:r>
          </w:p>
        </w:tc>
        <w:tc>
          <w:tcPr>
            <w:tcW w:w="1496"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637.0</w:t>
            </w:r>
          </w:p>
        </w:tc>
        <w:tc>
          <w:tcPr>
            <w:tcW w:w="1640" w:type="dxa"/>
            <w:shd w:val="clear" w:color="auto" w:fill="auto"/>
          </w:tcPr>
          <w:p w:rsidR="00D66945" w:rsidRPr="007828C4" w:rsidRDefault="00D66945" w:rsidP="00A33453">
            <w:pPr>
              <w:jc w:val="right"/>
              <w:rPr>
                <w:rFonts w:eastAsia="Arial Unicode MS" w:cs="Arial"/>
                <w:sz w:val="20"/>
                <w:szCs w:val="20"/>
              </w:rPr>
            </w:pPr>
            <w:r>
              <w:rPr>
                <w:rFonts w:eastAsia="Arial Unicode MS" w:cs="Arial"/>
                <w:sz w:val="20"/>
                <w:szCs w:val="20"/>
              </w:rPr>
              <w:t>43.0</w:t>
            </w:r>
          </w:p>
        </w:tc>
        <w:tc>
          <w:tcPr>
            <w:tcW w:w="1594" w:type="dxa"/>
            <w:shd w:val="clear" w:color="auto" w:fill="auto"/>
          </w:tcPr>
          <w:p w:rsidR="00D66945" w:rsidRPr="007828C4" w:rsidRDefault="00D66945" w:rsidP="00A33453">
            <w:pPr>
              <w:jc w:val="right"/>
              <w:rPr>
                <w:rFonts w:eastAsia="Arial Unicode MS" w:cs="Arial"/>
                <w:sz w:val="20"/>
                <w:szCs w:val="20"/>
              </w:rPr>
            </w:pPr>
            <w:r>
              <w:rPr>
                <w:rFonts w:eastAsia="Arial Unicode MS" w:cs="Arial"/>
                <w:sz w:val="20"/>
                <w:szCs w:val="20"/>
              </w:rPr>
              <w:t>(17.9)</w:t>
            </w:r>
          </w:p>
        </w:tc>
        <w:tc>
          <w:tcPr>
            <w:tcW w:w="1514" w:type="dxa"/>
            <w:shd w:val="clear" w:color="auto" w:fill="auto"/>
          </w:tcPr>
          <w:p w:rsidR="00D66945" w:rsidRPr="00B21CC0" w:rsidRDefault="00D66945" w:rsidP="00A33453">
            <w:pPr>
              <w:jc w:val="right"/>
              <w:rPr>
                <w:rFonts w:eastAsia="Arial Unicode MS" w:cs="Arial"/>
                <w:sz w:val="20"/>
                <w:szCs w:val="20"/>
                <w:highlight w:val="yellow"/>
              </w:rPr>
            </w:pPr>
            <w:r w:rsidRPr="006416A1">
              <w:rPr>
                <w:rFonts w:eastAsia="Arial Unicode MS" w:cs="Arial"/>
                <w:sz w:val="20"/>
                <w:szCs w:val="20"/>
              </w:rPr>
              <w:t>53.4</w:t>
            </w:r>
          </w:p>
        </w:tc>
        <w:tc>
          <w:tcPr>
            <w:tcW w:w="1496" w:type="dxa"/>
          </w:tcPr>
          <w:p w:rsidR="00D66945" w:rsidRPr="007828C4" w:rsidRDefault="00D66945" w:rsidP="00A33453">
            <w:pPr>
              <w:jc w:val="right"/>
              <w:rPr>
                <w:rFonts w:eastAsia="Arial Unicode MS" w:cs="Arial"/>
                <w:sz w:val="20"/>
                <w:szCs w:val="20"/>
              </w:rPr>
            </w:pPr>
            <w:r>
              <w:rPr>
                <w:rFonts w:eastAsia="Arial Unicode MS" w:cs="Arial"/>
                <w:sz w:val="20"/>
                <w:szCs w:val="20"/>
              </w:rPr>
              <w:t>715.5</w:t>
            </w:r>
          </w:p>
        </w:tc>
      </w:tr>
      <w:tr w:rsidR="00D66945" w:rsidRPr="007828C4" w:rsidTr="00A33453">
        <w:trPr>
          <w:trHeight w:val="431"/>
        </w:trPr>
        <w:tc>
          <w:tcPr>
            <w:tcW w:w="2710" w:type="dxa"/>
          </w:tcPr>
          <w:p w:rsidR="00D66945" w:rsidRPr="007828C4" w:rsidRDefault="00D66945" w:rsidP="00A33453">
            <w:pPr>
              <w:rPr>
                <w:rFonts w:eastAsia="Arial Unicode MS" w:cs="Arial"/>
                <w:sz w:val="20"/>
                <w:szCs w:val="20"/>
              </w:rPr>
            </w:pPr>
          </w:p>
        </w:tc>
        <w:tc>
          <w:tcPr>
            <w:tcW w:w="1496" w:type="dxa"/>
          </w:tcPr>
          <w:p w:rsidR="00D66945" w:rsidRPr="00E344AA" w:rsidRDefault="00D66945" w:rsidP="00A33453">
            <w:pPr>
              <w:jc w:val="right"/>
              <w:rPr>
                <w:rFonts w:eastAsia="Arial Unicode MS" w:cs="Arial"/>
                <w:b/>
                <w:sz w:val="20"/>
                <w:szCs w:val="20"/>
              </w:rPr>
            </w:pPr>
            <w:r w:rsidRPr="00E344AA">
              <w:rPr>
                <w:rFonts w:eastAsia="Arial Unicode MS" w:cs="Arial"/>
                <w:b/>
                <w:sz w:val="20"/>
                <w:szCs w:val="20"/>
              </w:rPr>
              <w:t>7,132.4</w:t>
            </w:r>
          </w:p>
        </w:tc>
        <w:tc>
          <w:tcPr>
            <w:tcW w:w="1640" w:type="dxa"/>
            <w:shd w:val="clear" w:color="auto" w:fill="auto"/>
          </w:tcPr>
          <w:p w:rsidR="00D66945" w:rsidRPr="004F1688" w:rsidRDefault="00D66945" w:rsidP="00A33453">
            <w:pPr>
              <w:jc w:val="right"/>
              <w:rPr>
                <w:rFonts w:eastAsia="Arial Unicode MS" w:cs="Arial"/>
                <w:b/>
                <w:sz w:val="20"/>
                <w:szCs w:val="20"/>
                <w:highlight w:val="yellow"/>
              </w:rPr>
            </w:pPr>
            <w:r w:rsidRPr="0060735D">
              <w:rPr>
                <w:rFonts w:eastAsia="Arial Unicode MS" w:cs="Arial"/>
                <w:b/>
                <w:sz w:val="20"/>
                <w:szCs w:val="20"/>
              </w:rPr>
              <w:t>4,281.3</w:t>
            </w:r>
          </w:p>
        </w:tc>
        <w:tc>
          <w:tcPr>
            <w:tcW w:w="1594" w:type="dxa"/>
            <w:shd w:val="clear" w:color="auto" w:fill="auto"/>
          </w:tcPr>
          <w:p w:rsidR="00D66945" w:rsidRPr="004F1688" w:rsidRDefault="00D66945" w:rsidP="00A33453">
            <w:pPr>
              <w:jc w:val="right"/>
              <w:rPr>
                <w:rFonts w:eastAsia="Arial Unicode MS" w:cs="Arial"/>
                <w:b/>
                <w:sz w:val="20"/>
                <w:szCs w:val="20"/>
                <w:highlight w:val="yellow"/>
              </w:rPr>
            </w:pPr>
            <w:r w:rsidRPr="004F1688">
              <w:rPr>
                <w:rFonts w:eastAsia="Arial Unicode MS" w:cs="Arial"/>
                <w:b/>
                <w:sz w:val="20"/>
                <w:szCs w:val="20"/>
              </w:rPr>
              <w:t>(4,138.</w:t>
            </w:r>
            <w:r>
              <w:rPr>
                <w:rFonts w:eastAsia="Arial Unicode MS" w:cs="Arial"/>
                <w:b/>
                <w:sz w:val="20"/>
                <w:szCs w:val="20"/>
              </w:rPr>
              <w:t>2</w:t>
            </w:r>
            <w:r w:rsidRPr="004F1688">
              <w:rPr>
                <w:rFonts w:eastAsia="Arial Unicode MS" w:cs="Arial"/>
                <w:b/>
                <w:sz w:val="20"/>
                <w:szCs w:val="20"/>
              </w:rPr>
              <w:t>)</w:t>
            </w:r>
          </w:p>
        </w:tc>
        <w:tc>
          <w:tcPr>
            <w:tcW w:w="1514" w:type="dxa"/>
            <w:shd w:val="clear" w:color="auto" w:fill="auto"/>
          </w:tcPr>
          <w:p w:rsidR="00D66945" w:rsidRPr="004F1688" w:rsidRDefault="00D66945" w:rsidP="00A33453">
            <w:pPr>
              <w:jc w:val="right"/>
              <w:rPr>
                <w:rFonts w:eastAsia="Arial Unicode MS" w:cs="Arial"/>
                <w:b/>
                <w:sz w:val="20"/>
                <w:szCs w:val="20"/>
              </w:rPr>
            </w:pPr>
            <w:r w:rsidRPr="004F1688">
              <w:rPr>
                <w:rFonts w:eastAsia="Arial Unicode MS" w:cs="Arial"/>
                <w:b/>
                <w:sz w:val="20"/>
                <w:szCs w:val="20"/>
              </w:rPr>
              <w:t>169.6</w:t>
            </w:r>
          </w:p>
        </w:tc>
        <w:tc>
          <w:tcPr>
            <w:tcW w:w="1496" w:type="dxa"/>
          </w:tcPr>
          <w:p w:rsidR="00D66945" w:rsidRPr="00E344AA" w:rsidRDefault="00D66945" w:rsidP="00A33453">
            <w:pPr>
              <w:jc w:val="right"/>
              <w:rPr>
                <w:rFonts w:eastAsia="Arial Unicode MS" w:cs="Arial"/>
                <w:b/>
                <w:sz w:val="20"/>
                <w:szCs w:val="20"/>
              </w:rPr>
            </w:pPr>
            <w:r>
              <w:rPr>
                <w:rFonts w:eastAsia="Arial Unicode MS" w:cs="Arial"/>
                <w:b/>
                <w:sz w:val="20"/>
                <w:szCs w:val="20"/>
              </w:rPr>
              <w:t>7,445.1</w:t>
            </w:r>
          </w:p>
        </w:tc>
      </w:tr>
      <w:tr w:rsidR="00D66945" w:rsidRPr="007828C4" w:rsidTr="00A33453">
        <w:trPr>
          <w:trHeight w:val="431"/>
        </w:trPr>
        <w:tc>
          <w:tcPr>
            <w:tcW w:w="2710" w:type="dxa"/>
          </w:tcPr>
          <w:p w:rsidR="00D66945" w:rsidRPr="00E344AA" w:rsidRDefault="00D66945" w:rsidP="00A33453">
            <w:pPr>
              <w:rPr>
                <w:rFonts w:eastAsia="Arial Unicode MS" w:cs="Arial"/>
                <w:sz w:val="20"/>
                <w:szCs w:val="20"/>
              </w:rPr>
            </w:pPr>
            <w:r w:rsidRPr="00E344AA">
              <w:rPr>
                <w:rFonts w:eastAsia="Arial Unicode MS" w:cs="Arial"/>
                <w:sz w:val="20"/>
                <w:szCs w:val="20"/>
              </w:rPr>
              <w:t>Other investment balances:</w:t>
            </w:r>
          </w:p>
        </w:tc>
        <w:tc>
          <w:tcPr>
            <w:tcW w:w="1496" w:type="dxa"/>
          </w:tcPr>
          <w:p w:rsidR="00D66945" w:rsidRPr="00E344AA" w:rsidRDefault="00D66945" w:rsidP="00A33453">
            <w:pPr>
              <w:jc w:val="right"/>
              <w:rPr>
                <w:rFonts w:eastAsia="Arial Unicode MS" w:cs="Arial"/>
                <w:sz w:val="20"/>
                <w:szCs w:val="20"/>
              </w:rPr>
            </w:pPr>
          </w:p>
        </w:tc>
        <w:tc>
          <w:tcPr>
            <w:tcW w:w="1640" w:type="dxa"/>
            <w:shd w:val="clear" w:color="auto" w:fill="auto"/>
          </w:tcPr>
          <w:p w:rsidR="00D66945" w:rsidRPr="00E05D89" w:rsidRDefault="00D66945" w:rsidP="00A33453">
            <w:pPr>
              <w:jc w:val="right"/>
              <w:rPr>
                <w:rFonts w:eastAsia="Arial Unicode MS" w:cs="Arial"/>
                <w:sz w:val="20"/>
                <w:szCs w:val="20"/>
                <w:highlight w:val="magenta"/>
              </w:rPr>
            </w:pPr>
          </w:p>
        </w:tc>
        <w:tc>
          <w:tcPr>
            <w:tcW w:w="1594" w:type="dxa"/>
            <w:shd w:val="clear" w:color="auto" w:fill="auto"/>
          </w:tcPr>
          <w:p w:rsidR="00D66945" w:rsidRPr="00E05D89" w:rsidRDefault="00D66945" w:rsidP="00A33453">
            <w:pPr>
              <w:jc w:val="right"/>
              <w:rPr>
                <w:rFonts w:eastAsia="Arial Unicode MS" w:cs="Arial"/>
                <w:sz w:val="20"/>
                <w:szCs w:val="20"/>
                <w:highlight w:val="magenta"/>
              </w:rPr>
            </w:pPr>
          </w:p>
        </w:tc>
        <w:tc>
          <w:tcPr>
            <w:tcW w:w="1514" w:type="dxa"/>
            <w:shd w:val="clear" w:color="auto" w:fill="auto"/>
          </w:tcPr>
          <w:p w:rsidR="00D66945" w:rsidRPr="00E05D89" w:rsidRDefault="00D66945" w:rsidP="00A33453">
            <w:pPr>
              <w:jc w:val="right"/>
              <w:rPr>
                <w:rFonts w:eastAsia="Arial Unicode MS" w:cs="Arial"/>
                <w:sz w:val="20"/>
                <w:szCs w:val="20"/>
                <w:highlight w:val="magenta"/>
              </w:rPr>
            </w:pPr>
          </w:p>
        </w:tc>
        <w:tc>
          <w:tcPr>
            <w:tcW w:w="1496" w:type="dxa"/>
          </w:tcPr>
          <w:p w:rsidR="00D66945" w:rsidRPr="007828C4" w:rsidRDefault="00D66945" w:rsidP="00A33453">
            <w:pPr>
              <w:jc w:val="right"/>
              <w:rPr>
                <w:rFonts w:eastAsia="Arial Unicode MS" w:cs="Arial"/>
                <w:sz w:val="20"/>
                <w:szCs w:val="20"/>
              </w:rPr>
            </w:pPr>
          </w:p>
        </w:tc>
      </w:tr>
      <w:tr w:rsidR="00D66945" w:rsidRPr="007828C4" w:rsidTr="00A33453">
        <w:trPr>
          <w:trHeight w:val="431"/>
        </w:trPr>
        <w:tc>
          <w:tcPr>
            <w:tcW w:w="2710" w:type="dxa"/>
          </w:tcPr>
          <w:p w:rsidR="00D66945" w:rsidRPr="007828C4" w:rsidRDefault="00D66945" w:rsidP="00A33453">
            <w:pPr>
              <w:rPr>
                <w:rFonts w:eastAsia="Arial Unicode MS" w:cs="Arial"/>
                <w:sz w:val="20"/>
                <w:szCs w:val="20"/>
              </w:rPr>
            </w:pPr>
            <w:r w:rsidRPr="007828C4">
              <w:rPr>
                <w:rFonts w:eastAsia="Arial Unicode MS" w:cs="Arial"/>
                <w:sz w:val="20"/>
                <w:szCs w:val="20"/>
              </w:rPr>
              <w:t>Cash deposits</w:t>
            </w:r>
          </w:p>
        </w:tc>
        <w:tc>
          <w:tcPr>
            <w:tcW w:w="1496"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56.3</w:t>
            </w:r>
          </w:p>
        </w:tc>
        <w:tc>
          <w:tcPr>
            <w:tcW w:w="1640" w:type="dxa"/>
            <w:shd w:val="clear" w:color="auto" w:fill="auto"/>
          </w:tcPr>
          <w:p w:rsidR="00D66945" w:rsidRPr="007828C4" w:rsidRDefault="00D66945" w:rsidP="00A33453">
            <w:pPr>
              <w:jc w:val="right"/>
              <w:rPr>
                <w:rFonts w:eastAsia="Arial Unicode MS" w:cs="Arial"/>
                <w:sz w:val="20"/>
                <w:szCs w:val="20"/>
              </w:rPr>
            </w:pPr>
          </w:p>
        </w:tc>
        <w:tc>
          <w:tcPr>
            <w:tcW w:w="1594" w:type="dxa"/>
            <w:shd w:val="clear" w:color="auto" w:fill="auto"/>
          </w:tcPr>
          <w:p w:rsidR="00D66945" w:rsidRPr="007828C4" w:rsidRDefault="00D66945" w:rsidP="00A33453">
            <w:pPr>
              <w:jc w:val="right"/>
              <w:rPr>
                <w:rFonts w:eastAsia="Arial Unicode MS" w:cs="Arial"/>
                <w:sz w:val="20"/>
                <w:szCs w:val="20"/>
              </w:rPr>
            </w:pPr>
          </w:p>
        </w:tc>
        <w:tc>
          <w:tcPr>
            <w:tcW w:w="1514" w:type="dxa"/>
            <w:shd w:val="clear" w:color="auto" w:fill="auto"/>
          </w:tcPr>
          <w:p w:rsidR="00D66945" w:rsidRPr="007828C4" w:rsidRDefault="00D66945" w:rsidP="00A33453">
            <w:pPr>
              <w:jc w:val="right"/>
              <w:rPr>
                <w:rFonts w:eastAsia="Arial Unicode MS" w:cs="Arial"/>
                <w:sz w:val="20"/>
                <w:szCs w:val="20"/>
                <w:highlight w:val="yellow"/>
              </w:rPr>
            </w:pPr>
          </w:p>
        </w:tc>
        <w:tc>
          <w:tcPr>
            <w:tcW w:w="1496" w:type="dxa"/>
          </w:tcPr>
          <w:p w:rsidR="00D66945" w:rsidRPr="007828C4" w:rsidRDefault="00D66945" w:rsidP="00A33453">
            <w:pPr>
              <w:jc w:val="right"/>
              <w:rPr>
                <w:rFonts w:eastAsia="Arial Unicode MS" w:cs="Arial"/>
                <w:sz w:val="20"/>
                <w:szCs w:val="20"/>
              </w:rPr>
            </w:pPr>
            <w:r>
              <w:rPr>
                <w:rFonts w:eastAsia="Arial Unicode MS" w:cs="Arial"/>
                <w:sz w:val="20"/>
                <w:szCs w:val="20"/>
              </w:rPr>
              <w:t>162.0</w:t>
            </w:r>
          </w:p>
        </w:tc>
      </w:tr>
      <w:tr w:rsidR="00D66945" w:rsidRPr="007828C4" w:rsidTr="00A33453">
        <w:trPr>
          <w:trHeight w:val="431"/>
        </w:trPr>
        <w:tc>
          <w:tcPr>
            <w:tcW w:w="2710" w:type="dxa"/>
          </w:tcPr>
          <w:p w:rsidR="00D66945" w:rsidRPr="007828C4" w:rsidRDefault="00D66945" w:rsidP="00A33453">
            <w:pPr>
              <w:rPr>
                <w:rFonts w:eastAsia="Arial Unicode MS" w:cs="Arial"/>
                <w:sz w:val="20"/>
                <w:szCs w:val="20"/>
              </w:rPr>
            </w:pPr>
            <w:r w:rsidRPr="007828C4">
              <w:rPr>
                <w:rFonts w:eastAsia="Arial Unicode MS" w:cs="Arial"/>
                <w:sz w:val="20"/>
                <w:szCs w:val="20"/>
              </w:rPr>
              <w:t>Investment accruals</w:t>
            </w:r>
          </w:p>
        </w:tc>
        <w:tc>
          <w:tcPr>
            <w:tcW w:w="1496"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2.7</w:t>
            </w:r>
          </w:p>
        </w:tc>
        <w:tc>
          <w:tcPr>
            <w:tcW w:w="1640" w:type="dxa"/>
            <w:shd w:val="clear" w:color="auto" w:fill="auto"/>
          </w:tcPr>
          <w:p w:rsidR="00D66945" w:rsidRPr="007828C4" w:rsidRDefault="00D66945" w:rsidP="00A33453">
            <w:pPr>
              <w:jc w:val="right"/>
              <w:rPr>
                <w:rFonts w:eastAsia="Arial Unicode MS" w:cs="Arial"/>
                <w:sz w:val="20"/>
                <w:szCs w:val="20"/>
              </w:rPr>
            </w:pPr>
          </w:p>
        </w:tc>
        <w:tc>
          <w:tcPr>
            <w:tcW w:w="1594" w:type="dxa"/>
            <w:shd w:val="clear" w:color="auto" w:fill="auto"/>
          </w:tcPr>
          <w:p w:rsidR="00D66945" w:rsidRPr="007828C4" w:rsidRDefault="00D66945" w:rsidP="00A33453">
            <w:pPr>
              <w:jc w:val="right"/>
              <w:rPr>
                <w:rFonts w:eastAsia="Arial Unicode MS" w:cs="Arial"/>
                <w:sz w:val="20"/>
                <w:szCs w:val="20"/>
              </w:rPr>
            </w:pPr>
          </w:p>
        </w:tc>
        <w:tc>
          <w:tcPr>
            <w:tcW w:w="1514" w:type="dxa"/>
            <w:shd w:val="clear" w:color="auto" w:fill="auto"/>
          </w:tcPr>
          <w:p w:rsidR="00D66945" w:rsidRPr="007828C4" w:rsidRDefault="00D66945" w:rsidP="00A33453">
            <w:pPr>
              <w:jc w:val="right"/>
              <w:rPr>
                <w:rFonts w:eastAsia="Arial Unicode MS" w:cs="Arial"/>
                <w:sz w:val="20"/>
                <w:szCs w:val="20"/>
              </w:rPr>
            </w:pPr>
          </w:p>
        </w:tc>
        <w:tc>
          <w:tcPr>
            <w:tcW w:w="1496" w:type="dxa"/>
          </w:tcPr>
          <w:p w:rsidR="00D66945" w:rsidRPr="007828C4" w:rsidRDefault="00D66945" w:rsidP="00A33453">
            <w:pPr>
              <w:jc w:val="right"/>
              <w:rPr>
                <w:rFonts w:eastAsia="Arial Unicode MS" w:cs="Arial"/>
                <w:sz w:val="20"/>
                <w:szCs w:val="20"/>
              </w:rPr>
            </w:pPr>
            <w:r>
              <w:rPr>
                <w:rFonts w:eastAsia="Arial Unicode MS" w:cs="Arial"/>
                <w:sz w:val="20"/>
                <w:szCs w:val="20"/>
              </w:rPr>
              <w:t>3.1</w:t>
            </w:r>
          </w:p>
        </w:tc>
      </w:tr>
      <w:tr w:rsidR="00D66945" w:rsidRPr="007828C4" w:rsidTr="00A33453">
        <w:trPr>
          <w:trHeight w:val="431"/>
        </w:trPr>
        <w:tc>
          <w:tcPr>
            <w:tcW w:w="2710" w:type="dxa"/>
            <w:shd w:val="clear" w:color="auto" w:fill="E7E6E6" w:themeFill="background2"/>
          </w:tcPr>
          <w:p w:rsidR="00D66945" w:rsidRPr="00E05D89" w:rsidRDefault="00D66945" w:rsidP="00A33453">
            <w:pPr>
              <w:rPr>
                <w:rFonts w:eastAsia="Arial Unicode MS" w:cs="Arial"/>
                <w:b/>
                <w:sz w:val="20"/>
                <w:szCs w:val="20"/>
                <w:highlight w:val="magenta"/>
              </w:rPr>
            </w:pPr>
            <w:r>
              <w:rPr>
                <w:rFonts w:eastAsia="Arial Unicode MS" w:cs="Arial"/>
                <w:b/>
                <w:sz w:val="20"/>
                <w:szCs w:val="20"/>
              </w:rPr>
              <w:t>N</w:t>
            </w:r>
            <w:r w:rsidRPr="00E344AA">
              <w:rPr>
                <w:rFonts w:eastAsia="Arial Unicode MS" w:cs="Arial"/>
                <w:b/>
                <w:sz w:val="20"/>
                <w:szCs w:val="20"/>
              </w:rPr>
              <w:t>et Investment assets</w:t>
            </w:r>
          </w:p>
        </w:tc>
        <w:tc>
          <w:tcPr>
            <w:tcW w:w="1496" w:type="dxa"/>
            <w:shd w:val="clear" w:color="auto" w:fill="E7E6E6" w:themeFill="background2"/>
          </w:tcPr>
          <w:p w:rsidR="00D66945" w:rsidRPr="00E05D89" w:rsidRDefault="00D66945" w:rsidP="00A33453">
            <w:pPr>
              <w:jc w:val="right"/>
              <w:rPr>
                <w:rFonts w:eastAsia="Arial Unicode MS" w:cs="Arial"/>
                <w:b/>
                <w:sz w:val="20"/>
                <w:szCs w:val="20"/>
                <w:highlight w:val="magenta"/>
              </w:rPr>
            </w:pPr>
            <w:r w:rsidRPr="00E344AA">
              <w:rPr>
                <w:rFonts w:eastAsia="Arial Unicode MS" w:cs="Arial"/>
                <w:b/>
                <w:sz w:val="20"/>
                <w:szCs w:val="20"/>
              </w:rPr>
              <w:t>7,191.4</w:t>
            </w:r>
          </w:p>
        </w:tc>
        <w:tc>
          <w:tcPr>
            <w:tcW w:w="1640" w:type="dxa"/>
            <w:shd w:val="clear" w:color="auto" w:fill="E7E6E6" w:themeFill="background2"/>
          </w:tcPr>
          <w:p w:rsidR="00D66945" w:rsidRPr="00E05D89" w:rsidRDefault="00D66945" w:rsidP="00A33453">
            <w:pPr>
              <w:jc w:val="right"/>
              <w:rPr>
                <w:rFonts w:eastAsia="Arial Unicode MS" w:cs="Arial"/>
                <w:b/>
                <w:sz w:val="20"/>
                <w:szCs w:val="20"/>
                <w:highlight w:val="magenta"/>
              </w:rPr>
            </w:pPr>
          </w:p>
        </w:tc>
        <w:tc>
          <w:tcPr>
            <w:tcW w:w="1594" w:type="dxa"/>
            <w:shd w:val="clear" w:color="auto" w:fill="E7E6E6" w:themeFill="background2"/>
          </w:tcPr>
          <w:p w:rsidR="00D66945" w:rsidRPr="00E05D89" w:rsidRDefault="00D66945" w:rsidP="00A33453">
            <w:pPr>
              <w:jc w:val="right"/>
              <w:rPr>
                <w:rFonts w:eastAsia="Arial Unicode MS" w:cs="Arial"/>
                <w:b/>
                <w:sz w:val="20"/>
                <w:szCs w:val="20"/>
                <w:highlight w:val="magenta"/>
              </w:rPr>
            </w:pPr>
          </w:p>
        </w:tc>
        <w:tc>
          <w:tcPr>
            <w:tcW w:w="1514" w:type="dxa"/>
            <w:shd w:val="clear" w:color="auto" w:fill="E7E6E6" w:themeFill="background2"/>
          </w:tcPr>
          <w:p w:rsidR="00D66945" w:rsidRPr="00E05D89" w:rsidRDefault="00D66945" w:rsidP="00A33453">
            <w:pPr>
              <w:jc w:val="right"/>
              <w:rPr>
                <w:rFonts w:eastAsia="Arial Unicode MS" w:cs="Arial"/>
                <w:b/>
                <w:sz w:val="20"/>
                <w:szCs w:val="20"/>
                <w:highlight w:val="magenta"/>
              </w:rPr>
            </w:pPr>
          </w:p>
        </w:tc>
        <w:tc>
          <w:tcPr>
            <w:tcW w:w="1496" w:type="dxa"/>
            <w:shd w:val="clear" w:color="auto" w:fill="E7E6E6" w:themeFill="background2"/>
          </w:tcPr>
          <w:p w:rsidR="00D66945" w:rsidRPr="007828C4" w:rsidRDefault="00D66945" w:rsidP="00A33453">
            <w:pPr>
              <w:jc w:val="right"/>
              <w:rPr>
                <w:rFonts w:eastAsia="Arial Unicode MS" w:cs="Arial"/>
                <w:b/>
                <w:sz w:val="20"/>
                <w:szCs w:val="20"/>
              </w:rPr>
            </w:pPr>
            <w:r>
              <w:rPr>
                <w:rFonts w:eastAsia="Arial Unicode MS" w:cs="Arial"/>
                <w:b/>
                <w:sz w:val="20"/>
                <w:szCs w:val="20"/>
              </w:rPr>
              <w:t>7,610.2</w:t>
            </w:r>
          </w:p>
        </w:tc>
      </w:tr>
    </w:tbl>
    <w:p w:rsidR="00DE18D2" w:rsidRDefault="00DE18D2" w:rsidP="00D66945">
      <w:pPr>
        <w:contextualSpacing/>
        <w:rPr>
          <w:rFonts w:eastAsia="Arial Unicode MS" w:cs="Arial"/>
          <w:sz w:val="22"/>
          <w:szCs w:val="22"/>
          <w:vertAlign w:val="superscript"/>
        </w:rPr>
      </w:pPr>
    </w:p>
    <w:p w:rsidR="00D66945" w:rsidRPr="00FB63AB" w:rsidRDefault="00D66945" w:rsidP="00D66945">
      <w:pPr>
        <w:contextualSpacing/>
        <w:rPr>
          <w:rFonts w:eastAsia="Arial Unicode MS" w:cs="Arial"/>
          <w:sz w:val="20"/>
          <w:szCs w:val="20"/>
        </w:rPr>
      </w:pPr>
      <w:r>
        <w:rPr>
          <w:rFonts w:eastAsia="Arial Unicode MS" w:cs="Arial"/>
          <w:sz w:val="22"/>
          <w:szCs w:val="22"/>
          <w:vertAlign w:val="superscript"/>
        </w:rPr>
        <w:t>1</w:t>
      </w:r>
      <w:r>
        <w:rPr>
          <w:rFonts w:eastAsia="Arial Unicode MS" w:cs="Arial"/>
          <w:sz w:val="22"/>
          <w:szCs w:val="22"/>
        </w:rPr>
        <w:t xml:space="preserve"> </w:t>
      </w:r>
      <w:r w:rsidRPr="00FB63AB">
        <w:rPr>
          <w:rFonts w:eastAsia="Arial Unicode MS" w:cs="Arial"/>
          <w:sz w:val="20"/>
          <w:szCs w:val="20"/>
        </w:rPr>
        <w:t>£221.9m on the face of the Fund account includes the change in market value of investments disclosed above (£</w:t>
      </w:r>
      <w:r>
        <w:rPr>
          <w:rFonts w:eastAsia="Arial Unicode MS" w:cs="Arial"/>
          <w:sz w:val="20"/>
          <w:szCs w:val="20"/>
        </w:rPr>
        <w:t>169.6m</w:t>
      </w:r>
      <w:r w:rsidRPr="00FB63AB">
        <w:rPr>
          <w:rFonts w:eastAsia="Arial Unicode MS" w:cs="Arial"/>
          <w:sz w:val="20"/>
          <w:szCs w:val="20"/>
        </w:rPr>
        <w:t>), plus profits and losses on disposals and changes in the market value of derivatives held within the pools.</w:t>
      </w:r>
    </w:p>
    <w:p w:rsidR="00D66945" w:rsidRDefault="00D66945"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E18D2" w:rsidRDefault="00DE18D2" w:rsidP="00D66945">
      <w:pPr>
        <w:contextualSpacing/>
        <w:rPr>
          <w:rFonts w:eastAsia="Arial Unicode MS" w:cs="Arial"/>
          <w:b/>
          <w:sz w:val="32"/>
          <w:szCs w:val="22"/>
        </w:rPr>
      </w:pPr>
    </w:p>
    <w:p w:rsidR="00D66945" w:rsidRPr="007828C4" w:rsidRDefault="00D66945" w:rsidP="00D66945">
      <w:pPr>
        <w:contextualSpacing/>
        <w:rPr>
          <w:rFonts w:eastAsia="Arial Unicode MS" w:cs="Arial"/>
          <w:b/>
          <w:sz w:val="32"/>
          <w:szCs w:val="22"/>
        </w:rPr>
      </w:pPr>
      <w:r>
        <w:rPr>
          <w:rFonts w:eastAsia="Arial Unicode MS" w:cs="Arial"/>
          <w:b/>
          <w:sz w:val="32"/>
          <w:szCs w:val="22"/>
        </w:rPr>
        <w:t>2016/17</w:t>
      </w:r>
    </w:p>
    <w:p w:rsidR="00D66945" w:rsidRPr="007828C4" w:rsidRDefault="00D66945" w:rsidP="00D66945">
      <w:pPr>
        <w:ind w:left="862"/>
        <w:contextualSpacing/>
        <w:rPr>
          <w:rFonts w:eastAsia="Arial Unicode MS" w:cs="Arial"/>
          <w:b/>
          <w:sz w:val="22"/>
          <w:szCs w:val="22"/>
        </w:rPr>
      </w:pPr>
    </w:p>
    <w:tbl>
      <w:tblPr>
        <w:tblStyle w:val="TableGrid2"/>
        <w:tblW w:w="0" w:type="auto"/>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705"/>
        <w:gridCol w:w="1477"/>
        <w:gridCol w:w="1661"/>
        <w:gridCol w:w="1618"/>
        <w:gridCol w:w="1512"/>
        <w:gridCol w:w="1477"/>
      </w:tblGrid>
      <w:tr w:rsidR="00D66945" w:rsidRPr="007828C4" w:rsidTr="00A33453">
        <w:tc>
          <w:tcPr>
            <w:tcW w:w="2705" w:type="dxa"/>
            <w:tcBorders>
              <w:bottom w:val="nil"/>
            </w:tcBorders>
            <w:shd w:val="clear" w:color="auto" w:fill="E7E6E6" w:themeFill="background2"/>
          </w:tcPr>
          <w:p w:rsidR="00D66945" w:rsidRPr="007828C4" w:rsidRDefault="00D66945" w:rsidP="00A33453">
            <w:pPr>
              <w:rPr>
                <w:rFonts w:eastAsia="Arial Unicode MS" w:cs="Arial"/>
                <w:b/>
                <w:sz w:val="20"/>
                <w:szCs w:val="20"/>
              </w:rPr>
            </w:pPr>
          </w:p>
        </w:tc>
        <w:tc>
          <w:tcPr>
            <w:tcW w:w="1477"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Market value as at</w:t>
            </w:r>
          </w:p>
          <w:p w:rsidR="00D66945" w:rsidRDefault="00D66945" w:rsidP="00A33453">
            <w:pPr>
              <w:jc w:val="right"/>
              <w:rPr>
                <w:rFonts w:eastAsia="Arial Unicode MS" w:cs="Arial"/>
                <w:b/>
                <w:sz w:val="20"/>
                <w:szCs w:val="20"/>
              </w:rPr>
            </w:pPr>
            <w:r w:rsidRPr="007828C4">
              <w:rPr>
                <w:rFonts w:eastAsia="Arial Unicode MS" w:cs="Arial"/>
                <w:b/>
                <w:sz w:val="20"/>
                <w:szCs w:val="20"/>
              </w:rPr>
              <w:t xml:space="preserve">1 April </w:t>
            </w: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201</w:t>
            </w:r>
            <w:r>
              <w:rPr>
                <w:rFonts w:eastAsia="Arial Unicode MS" w:cs="Arial"/>
                <w:b/>
                <w:sz w:val="20"/>
                <w:szCs w:val="20"/>
              </w:rPr>
              <w:t>6</w:t>
            </w:r>
          </w:p>
        </w:tc>
        <w:tc>
          <w:tcPr>
            <w:tcW w:w="1661"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Purchases at cost and derivative payments</w:t>
            </w:r>
            <w:r>
              <w:rPr>
                <w:rFonts w:eastAsia="Arial Unicode MS" w:cs="Arial"/>
                <w:b/>
                <w:sz w:val="20"/>
                <w:szCs w:val="20"/>
              </w:rPr>
              <w:t>*</w:t>
            </w:r>
          </w:p>
        </w:tc>
        <w:tc>
          <w:tcPr>
            <w:tcW w:w="1618"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Sales proceeds and derivative receipts</w:t>
            </w:r>
            <w:r>
              <w:rPr>
                <w:rFonts w:eastAsia="Arial Unicode MS" w:cs="Arial"/>
                <w:b/>
                <w:sz w:val="20"/>
                <w:szCs w:val="20"/>
              </w:rPr>
              <w:t>*</w:t>
            </w:r>
          </w:p>
        </w:tc>
        <w:tc>
          <w:tcPr>
            <w:tcW w:w="1512"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Change in market value</w:t>
            </w:r>
            <w:r>
              <w:rPr>
                <w:rFonts w:eastAsia="Arial Unicode MS" w:cs="Arial"/>
                <w:b/>
                <w:sz w:val="20"/>
                <w:szCs w:val="20"/>
              </w:rPr>
              <w:t>*</w:t>
            </w:r>
          </w:p>
        </w:tc>
        <w:tc>
          <w:tcPr>
            <w:tcW w:w="1477"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Market value as at</w:t>
            </w:r>
          </w:p>
          <w:p w:rsidR="00D66945" w:rsidRPr="007828C4" w:rsidRDefault="00D66945" w:rsidP="00A33453">
            <w:pPr>
              <w:jc w:val="right"/>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7</w:t>
            </w:r>
          </w:p>
        </w:tc>
      </w:tr>
      <w:tr w:rsidR="00D66945" w:rsidRPr="007828C4" w:rsidTr="00A33453">
        <w:trPr>
          <w:trHeight w:val="431"/>
        </w:trPr>
        <w:tc>
          <w:tcPr>
            <w:tcW w:w="2705" w:type="dxa"/>
            <w:tcBorders>
              <w:top w:val="nil"/>
            </w:tcBorders>
            <w:shd w:val="clear" w:color="auto" w:fill="E7E6E6" w:themeFill="background2"/>
          </w:tcPr>
          <w:p w:rsidR="00D66945" w:rsidRPr="007828C4" w:rsidRDefault="00D66945" w:rsidP="00A33453">
            <w:pPr>
              <w:jc w:val="right"/>
              <w:rPr>
                <w:rFonts w:eastAsia="Arial Unicode MS" w:cs="Arial"/>
                <w:sz w:val="20"/>
                <w:szCs w:val="20"/>
              </w:rPr>
            </w:pPr>
          </w:p>
        </w:tc>
        <w:tc>
          <w:tcPr>
            <w:tcW w:w="1477"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c>
          <w:tcPr>
            <w:tcW w:w="1661"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c>
          <w:tcPr>
            <w:tcW w:w="1618"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c>
          <w:tcPr>
            <w:tcW w:w="1512"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c>
          <w:tcPr>
            <w:tcW w:w="1477"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2705" w:type="dxa"/>
          </w:tcPr>
          <w:p w:rsidR="00D66945" w:rsidRPr="007828C4" w:rsidRDefault="00D66945" w:rsidP="00A33453">
            <w:pPr>
              <w:rPr>
                <w:rFonts w:eastAsia="Arial Unicode MS" w:cs="Arial"/>
                <w:sz w:val="20"/>
                <w:szCs w:val="20"/>
              </w:rPr>
            </w:pPr>
            <w:r w:rsidRPr="007828C4">
              <w:rPr>
                <w:rFonts w:eastAsia="Arial Unicode MS" w:cs="Arial"/>
                <w:sz w:val="20"/>
                <w:szCs w:val="20"/>
              </w:rPr>
              <w:t>Fixed interest securities</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123.1</w:t>
            </w:r>
          </w:p>
        </w:tc>
        <w:tc>
          <w:tcPr>
            <w:tcW w:w="1661" w:type="dxa"/>
          </w:tcPr>
          <w:p w:rsidR="00D66945" w:rsidRPr="00235A36" w:rsidRDefault="00D66945" w:rsidP="00A33453">
            <w:pPr>
              <w:jc w:val="right"/>
              <w:rPr>
                <w:rFonts w:eastAsia="Arial Unicode MS" w:cs="Arial"/>
                <w:sz w:val="20"/>
                <w:szCs w:val="20"/>
              </w:rPr>
            </w:pPr>
            <w:r w:rsidRPr="00235A36">
              <w:rPr>
                <w:rFonts w:eastAsia="Arial Unicode MS" w:cs="Arial"/>
                <w:sz w:val="20"/>
                <w:szCs w:val="20"/>
              </w:rPr>
              <w:t>189.5</w:t>
            </w:r>
          </w:p>
        </w:tc>
        <w:tc>
          <w:tcPr>
            <w:tcW w:w="1618" w:type="dxa"/>
          </w:tcPr>
          <w:p w:rsidR="00D66945" w:rsidRPr="00235A36" w:rsidRDefault="00D66945" w:rsidP="00A33453">
            <w:pPr>
              <w:jc w:val="right"/>
              <w:rPr>
                <w:rFonts w:eastAsia="Arial Unicode MS" w:cs="Arial"/>
                <w:sz w:val="20"/>
                <w:szCs w:val="20"/>
              </w:rPr>
            </w:pPr>
            <w:r w:rsidRPr="00235A36">
              <w:rPr>
                <w:rFonts w:eastAsia="Arial Unicode MS" w:cs="Arial"/>
                <w:sz w:val="20"/>
                <w:szCs w:val="20"/>
              </w:rPr>
              <w:t>(190.5)</w:t>
            </w:r>
          </w:p>
        </w:tc>
        <w:tc>
          <w:tcPr>
            <w:tcW w:w="1512" w:type="dxa"/>
          </w:tcPr>
          <w:p w:rsidR="00D66945" w:rsidRPr="00235A36" w:rsidRDefault="00D66945" w:rsidP="00A33453">
            <w:pPr>
              <w:jc w:val="right"/>
              <w:rPr>
                <w:rFonts w:eastAsia="Arial Unicode MS" w:cs="Arial"/>
                <w:sz w:val="20"/>
                <w:szCs w:val="20"/>
              </w:rPr>
            </w:pPr>
            <w:r w:rsidRPr="00235A36">
              <w:rPr>
                <w:rFonts w:eastAsia="Arial Unicode MS" w:cs="Arial"/>
                <w:sz w:val="20"/>
                <w:szCs w:val="20"/>
              </w:rPr>
              <w:t>10.1</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132.2</w:t>
            </w:r>
          </w:p>
        </w:tc>
      </w:tr>
      <w:tr w:rsidR="00D66945" w:rsidRPr="007828C4" w:rsidTr="00A33453">
        <w:trPr>
          <w:trHeight w:val="431"/>
        </w:trPr>
        <w:tc>
          <w:tcPr>
            <w:tcW w:w="2705" w:type="dxa"/>
          </w:tcPr>
          <w:p w:rsidR="00D66945" w:rsidRPr="007828C4" w:rsidRDefault="00D66945" w:rsidP="00A33453">
            <w:pPr>
              <w:rPr>
                <w:rFonts w:eastAsia="Arial Unicode MS" w:cs="Arial"/>
                <w:sz w:val="20"/>
                <w:szCs w:val="20"/>
              </w:rPr>
            </w:pPr>
            <w:r w:rsidRPr="007828C4">
              <w:rPr>
                <w:rFonts w:eastAsia="Arial Unicode MS" w:cs="Arial"/>
                <w:sz w:val="20"/>
                <w:szCs w:val="20"/>
              </w:rPr>
              <w:t>Equities</w:t>
            </w:r>
            <w:r w:rsidRPr="007828C4">
              <w:rPr>
                <w:rFonts w:eastAsia="Arial Unicode MS" w:cs="Arial"/>
                <w:sz w:val="20"/>
                <w:szCs w:val="20"/>
                <w:vertAlign w:val="superscript"/>
              </w:rPr>
              <w:t>1</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2,069.9</w:t>
            </w:r>
          </w:p>
        </w:tc>
        <w:tc>
          <w:tcPr>
            <w:tcW w:w="1661" w:type="dxa"/>
          </w:tcPr>
          <w:p w:rsidR="00D66945" w:rsidRPr="00235A36" w:rsidRDefault="00D66945" w:rsidP="00A33453">
            <w:pPr>
              <w:jc w:val="right"/>
              <w:rPr>
                <w:rFonts w:eastAsia="Arial Unicode MS" w:cs="Arial"/>
                <w:sz w:val="20"/>
                <w:szCs w:val="20"/>
              </w:rPr>
            </w:pPr>
            <w:r w:rsidRPr="00235A36">
              <w:rPr>
                <w:rFonts w:eastAsia="Arial Unicode MS" w:cs="Arial"/>
                <w:sz w:val="20"/>
                <w:szCs w:val="20"/>
              </w:rPr>
              <w:t>1,876.6</w:t>
            </w:r>
          </w:p>
        </w:tc>
        <w:tc>
          <w:tcPr>
            <w:tcW w:w="1618" w:type="dxa"/>
          </w:tcPr>
          <w:p w:rsidR="00D66945" w:rsidRPr="007A6541" w:rsidRDefault="00D66945" w:rsidP="00A33453">
            <w:pPr>
              <w:jc w:val="right"/>
              <w:rPr>
                <w:rFonts w:eastAsia="Arial Unicode MS" w:cs="Arial"/>
                <w:sz w:val="20"/>
                <w:szCs w:val="20"/>
              </w:rPr>
            </w:pPr>
            <w:r w:rsidRPr="007A6541">
              <w:rPr>
                <w:rFonts w:eastAsia="Arial Unicode MS" w:cs="Arial"/>
                <w:sz w:val="20"/>
                <w:szCs w:val="20"/>
              </w:rPr>
              <w:t>(4,358.0)</w:t>
            </w:r>
          </w:p>
        </w:tc>
        <w:tc>
          <w:tcPr>
            <w:tcW w:w="1512" w:type="dxa"/>
          </w:tcPr>
          <w:p w:rsidR="00D66945" w:rsidRPr="007A6541" w:rsidRDefault="00D66945" w:rsidP="00A33453">
            <w:pPr>
              <w:jc w:val="right"/>
              <w:rPr>
                <w:rFonts w:eastAsia="Arial Unicode MS" w:cs="Arial"/>
                <w:sz w:val="20"/>
                <w:szCs w:val="20"/>
              </w:rPr>
            </w:pPr>
            <w:r w:rsidRPr="007A6541">
              <w:rPr>
                <w:rFonts w:eastAsia="Arial Unicode MS" w:cs="Arial"/>
                <w:sz w:val="20"/>
                <w:szCs w:val="20"/>
              </w:rPr>
              <w:t>411.5</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w:t>
            </w:r>
          </w:p>
        </w:tc>
      </w:tr>
      <w:tr w:rsidR="00D66945" w:rsidRPr="007828C4" w:rsidTr="00A33453">
        <w:trPr>
          <w:trHeight w:val="431"/>
        </w:trPr>
        <w:tc>
          <w:tcPr>
            <w:tcW w:w="2705" w:type="dxa"/>
          </w:tcPr>
          <w:p w:rsidR="00D66945" w:rsidRPr="007828C4" w:rsidRDefault="00D66945" w:rsidP="00A33453">
            <w:pPr>
              <w:rPr>
                <w:rFonts w:eastAsia="Arial Unicode MS" w:cs="Arial"/>
                <w:sz w:val="20"/>
                <w:szCs w:val="20"/>
              </w:rPr>
            </w:pPr>
            <w:r w:rsidRPr="007828C4">
              <w:rPr>
                <w:rFonts w:eastAsia="Arial Unicode MS" w:cs="Arial"/>
                <w:sz w:val="20"/>
                <w:szCs w:val="20"/>
              </w:rPr>
              <w:t>Index linked securities</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63.7</w:t>
            </w:r>
          </w:p>
        </w:tc>
        <w:tc>
          <w:tcPr>
            <w:tcW w:w="1661" w:type="dxa"/>
          </w:tcPr>
          <w:p w:rsidR="00D66945" w:rsidRPr="00235A36" w:rsidRDefault="00D66945" w:rsidP="00A33453">
            <w:pPr>
              <w:jc w:val="right"/>
              <w:rPr>
                <w:rFonts w:eastAsia="Arial Unicode MS" w:cs="Arial"/>
                <w:sz w:val="20"/>
                <w:szCs w:val="20"/>
              </w:rPr>
            </w:pPr>
            <w:r w:rsidRPr="00235A36">
              <w:rPr>
                <w:rFonts w:eastAsia="Arial Unicode MS" w:cs="Arial"/>
                <w:sz w:val="20"/>
                <w:szCs w:val="20"/>
              </w:rPr>
              <w:t>125.1</w:t>
            </w:r>
          </w:p>
        </w:tc>
        <w:tc>
          <w:tcPr>
            <w:tcW w:w="1618" w:type="dxa"/>
          </w:tcPr>
          <w:p w:rsidR="00D66945" w:rsidRPr="00235A36" w:rsidRDefault="00D66945" w:rsidP="00A33453">
            <w:pPr>
              <w:jc w:val="right"/>
              <w:rPr>
                <w:rFonts w:eastAsia="Arial Unicode MS" w:cs="Arial"/>
                <w:sz w:val="20"/>
                <w:szCs w:val="20"/>
              </w:rPr>
            </w:pPr>
            <w:r w:rsidRPr="00235A36">
              <w:rPr>
                <w:rFonts w:eastAsia="Arial Unicode MS" w:cs="Arial"/>
                <w:sz w:val="20"/>
                <w:szCs w:val="20"/>
              </w:rPr>
              <w:t>(66.7)</w:t>
            </w:r>
          </w:p>
        </w:tc>
        <w:tc>
          <w:tcPr>
            <w:tcW w:w="1512" w:type="dxa"/>
          </w:tcPr>
          <w:p w:rsidR="00D66945" w:rsidRPr="00235A36" w:rsidRDefault="00D66945" w:rsidP="00A33453">
            <w:pPr>
              <w:jc w:val="right"/>
              <w:rPr>
                <w:rFonts w:eastAsia="Arial Unicode MS" w:cs="Arial"/>
                <w:sz w:val="20"/>
                <w:szCs w:val="20"/>
              </w:rPr>
            </w:pPr>
            <w:r w:rsidRPr="00235A36">
              <w:rPr>
                <w:rFonts w:eastAsia="Arial Unicode MS" w:cs="Arial"/>
                <w:sz w:val="20"/>
                <w:szCs w:val="20"/>
              </w:rPr>
              <w:t>5.0</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127.1</w:t>
            </w:r>
          </w:p>
        </w:tc>
      </w:tr>
      <w:tr w:rsidR="00D66945" w:rsidRPr="007828C4" w:rsidTr="00A33453">
        <w:trPr>
          <w:trHeight w:val="431"/>
        </w:trPr>
        <w:tc>
          <w:tcPr>
            <w:tcW w:w="2705" w:type="dxa"/>
          </w:tcPr>
          <w:p w:rsidR="00D66945" w:rsidRPr="007828C4" w:rsidRDefault="00D66945" w:rsidP="00A33453">
            <w:pPr>
              <w:rPr>
                <w:rFonts w:eastAsia="Arial Unicode MS" w:cs="Arial"/>
                <w:sz w:val="20"/>
                <w:szCs w:val="20"/>
              </w:rPr>
            </w:pPr>
            <w:r w:rsidRPr="007828C4">
              <w:rPr>
                <w:rFonts w:eastAsia="Arial Unicode MS" w:cs="Arial"/>
                <w:sz w:val="20"/>
                <w:szCs w:val="20"/>
              </w:rPr>
              <w:t>Pooled investment vehicles</w:t>
            </w:r>
            <w:r w:rsidRPr="007828C4">
              <w:rPr>
                <w:rFonts w:eastAsia="Arial Unicode MS" w:cs="Arial"/>
                <w:sz w:val="20"/>
                <w:szCs w:val="20"/>
                <w:vertAlign w:val="superscript"/>
              </w:rPr>
              <w:t>2</w:t>
            </w:r>
          </w:p>
        </w:tc>
        <w:tc>
          <w:tcPr>
            <w:tcW w:w="1477" w:type="dxa"/>
            <w:shd w:val="clear" w:color="auto" w:fill="auto"/>
          </w:tcPr>
          <w:p w:rsidR="00D66945" w:rsidRPr="007828C4" w:rsidRDefault="00D66945" w:rsidP="00A33453">
            <w:pPr>
              <w:jc w:val="right"/>
              <w:rPr>
                <w:rFonts w:eastAsia="Arial Unicode MS" w:cs="Arial"/>
                <w:sz w:val="20"/>
                <w:szCs w:val="20"/>
              </w:rPr>
            </w:pPr>
            <w:r w:rsidRPr="007828C4">
              <w:rPr>
                <w:rFonts w:eastAsia="Arial Unicode MS" w:cs="Arial"/>
                <w:sz w:val="20"/>
                <w:szCs w:val="20"/>
              </w:rPr>
              <w:t>2,855.0</w:t>
            </w:r>
          </w:p>
        </w:tc>
        <w:tc>
          <w:tcPr>
            <w:tcW w:w="1661" w:type="dxa"/>
            <w:shd w:val="clear" w:color="auto" w:fill="auto"/>
          </w:tcPr>
          <w:p w:rsidR="00D66945" w:rsidRPr="00B21CC0" w:rsidRDefault="00D66945" w:rsidP="00A33453">
            <w:pPr>
              <w:jc w:val="right"/>
              <w:rPr>
                <w:rFonts w:eastAsia="Arial Unicode MS" w:cs="Arial"/>
                <w:sz w:val="20"/>
                <w:szCs w:val="20"/>
                <w:highlight w:val="yellow"/>
              </w:rPr>
            </w:pPr>
            <w:r w:rsidRPr="00235A36">
              <w:rPr>
                <w:rFonts w:eastAsia="Arial Unicode MS" w:cs="Arial"/>
                <w:sz w:val="20"/>
                <w:szCs w:val="20"/>
              </w:rPr>
              <w:t>3,</w:t>
            </w:r>
            <w:r>
              <w:rPr>
                <w:rFonts w:eastAsia="Arial Unicode MS" w:cs="Arial"/>
                <w:sz w:val="20"/>
                <w:szCs w:val="20"/>
              </w:rPr>
              <w:t>365.7</w:t>
            </w:r>
          </w:p>
        </w:tc>
        <w:tc>
          <w:tcPr>
            <w:tcW w:w="1618" w:type="dxa"/>
            <w:shd w:val="clear" w:color="auto" w:fill="auto"/>
          </w:tcPr>
          <w:p w:rsidR="00D66945" w:rsidRPr="00B21CC0" w:rsidRDefault="00D66945" w:rsidP="00A33453">
            <w:pPr>
              <w:jc w:val="right"/>
              <w:rPr>
                <w:rFonts w:eastAsia="Arial Unicode MS" w:cs="Arial"/>
                <w:sz w:val="20"/>
                <w:szCs w:val="20"/>
                <w:highlight w:val="yellow"/>
              </w:rPr>
            </w:pPr>
            <w:r w:rsidRPr="00235A36">
              <w:rPr>
                <w:rFonts w:eastAsia="Arial Unicode MS" w:cs="Arial"/>
                <w:sz w:val="20"/>
                <w:szCs w:val="20"/>
              </w:rPr>
              <w:t>(77</w:t>
            </w:r>
            <w:r>
              <w:rPr>
                <w:rFonts w:eastAsia="Arial Unicode MS" w:cs="Arial"/>
                <w:sz w:val="20"/>
                <w:szCs w:val="20"/>
              </w:rPr>
              <w:t>9</w:t>
            </w:r>
            <w:r w:rsidRPr="00235A36">
              <w:rPr>
                <w:rFonts w:eastAsia="Arial Unicode MS" w:cs="Arial"/>
                <w:sz w:val="20"/>
                <w:szCs w:val="20"/>
              </w:rPr>
              <w:t>.1)</w:t>
            </w:r>
          </w:p>
        </w:tc>
        <w:tc>
          <w:tcPr>
            <w:tcW w:w="1512" w:type="dxa"/>
            <w:shd w:val="clear" w:color="auto" w:fill="auto"/>
          </w:tcPr>
          <w:p w:rsidR="00D66945" w:rsidRPr="00B21CC0" w:rsidRDefault="00D66945" w:rsidP="00A33453">
            <w:pPr>
              <w:jc w:val="right"/>
              <w:rPr>
                <w:rFonts w:eastAsia="Arial Unicode MS" w:cs="Arial"/>
                <w:sz w:val="20"/>
                <w:szCs w:val="20"/>
                <w:highlight w:val="yellow"/>
              </w:rPr>
            </w:pPr>
            <w:r w:rsidRPr="00235A36">
              <w:rPr>
                <w:rFonts w:eastAsia="Arial Unicode MS" w:cs="Arial"/>
                <w:sz w:val="20"/>
                <w:szCs w:val="20"/>
              </w:rPr>
              <w:t>695.1</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6,136.7</w:t>
            </w:r>
          </w:p>
        </w:tc>
      </w:tr>
      <w:tr w:rsidR="00D66945" w:rsidRPr="007828C4" w:rsidTr="00A33453">
        <w:trPr>
          <w:trHeight w:val="431"/>
        </w:trPr>
        <w:tc>
          <w:tcPr>
            <w:tcW w:w="2705" w:type="dxa"/>
          </w:tcPr>
          <w:p w:rsidR="00D66945" w:rsidRPr="007828C4" w:rsidRDefault="00D66945" w:rsidP="00A33453">
            <w:pPr>
              <w:rPr>
                <w:rFonts w:eastAsia="Arial Unicode MS" w:cs="Arial"/>
                <w:sz w:val="20"/>
                <w:szCs w:val="20"/>
                <w:vertAlign w:val="superscript"/>
              </w:rPr>
            </w:pPr>
            <w:r w:rsidRPr="007828C4">
              <w:rPr>
                <w:rFonts w:eastAsia="Arial Unicode MS" w:cs="Arial"/>
                <w:sz w:val="20"/>
                <w:szCs w:val="20"/>
              </w:rPr>
              <w:t>Pooled property investments</w:t>
            </w:r>
            <w:r w:rsidRPr="007828C4">
              <w:rPr>
                <w:rFonts w:eastAsia="Arial Unicode MS" w:cs="Arial"/>
                <w:sz w:val="20"/>
                <w:szCs w:val="20"/>
                <w:vertAlign w:val="superscript"/>
              </w:rPr>
              <w:t>2</w:t>
            </w:r>
          </w:p>
        </w:tc>
        <w:tc>
          <w:tcPr>
            <w:tcW w:w="1477" w:type="dxa"/>
            <w:shd w:val="clear" w:color="auto" w:fill="auto"/>
          </w:tcPr>
          <w:p w:rsidR="00D66945" w:rsidRPr="007828C4" w:rsidRDefault="00D66945" w:rsidP="00A33453">
            <w:pPr>
              <w:jc w:val="right"/>
              <w:rPr>
                <w:rFonts w:eastAsia="Arial Unicode MS" w:cs="Arial"/>
                <w:sz w:val="20"/>
                <w:szCs w:val="20"/>
              </w:rPr>
            </w:pPr>
            <w:r w:rsidRPr="007828C4">
              <w:rPr>
                <w:rFonts w:eastAsia="Arial Unicode MS" w:cs="Arial"/>
                <w:sz w:val="20"/>
                <w:szCs w:val="20"/>
              </w:rPr>
              <w:t>80.6</w:t>
            </w:r>
          </w:p>
        </w:tc>
        <w:tc>
          <w:tcPr>
            <w:tcW w:w="1661" w:type="dxa"/>
            <w:shd w:val="clear" w:color="auto" w:fill="auto"/>
          </w:tcPr>
          <w:p w:rsidR="00D66945" w:rsidRPr="00F41243" w:rsidRDefault="00D66945" w:rsidP="00A33453">
            <w:pPr>
              <w:jc w:val="right"/>
              <w:rPr>
                <w:rFonts w:eastAsia="Arial Unicode MS" w:cs="Arial"/>
                <w:sz w:val="20"/>
                <w:szCs w:val="20"/>
              </w:rPr>
            </w:pPr>
            <w:r w:rsidRPr="00F41243">
              <w:rPr>
                <w:rFonts w:eastAsia="Arial Unicode MS" w:cs="Arial"/>
                <w:sz w:val="20"/>
                <w:szCs w:val="20"/>
              </w:rPr>
              <w:t>13.4</w:t>
            </w:r>
          </w:p>
        </w:tc>
        <w:tc>
          <w:tcPr>
            <w:tcW w:w="1618" w:type="dxa"/>
            <w:shd w:val="clear" w:color="auto" w:fill="auto"/>
          </w:tcPr>
          <w:p w:rsidR="00D66945" w:rsidRPr="00F41243" w:rsidRDefault="00D66945" w:rsidP="00A33453">
            <w:pPr>
              <w:jc w:val="right"/>
              <w:rPr>
                <w:rFonts w:eastAsia="Arial Unicode MS" w:cs="Arial"/>
                <w:sz w:val="20"/>
                <w:szCs w:val="20"/>
              </w:rPr>
            </w:pPr>
            <w:r w:rsidRPr="00F41243">
              <w:rPr>
                <w:rFonts w:eastAsia="Arial Unicode MS" w:cs="Arial"/>
                <w:sz w:val="20"/>
                <w:szCs w:val="20"/>
              </w:rPr>
              <w:t>(0.4)</w:t>
            </w:r>
          </w:p>
        </w:tc>
        <w:tc>
          <w:tcPr>
            <w:tcW w:w="1512" w:type="dxa"/>
            <w:shd w:val="clear" w:color="auto" w:fill="auto"/>
          </w:tcPr>
          <w:p w:rsidR="00D66945" w:rsidRPr="00F41243" w:rsidRDefault="00D66945" w:rsidP="00A33453">
            <w:pPr>
              <w:jc w:val="right"/>
              <w:rPr>
                <w:rFonts w:eastAsia="Arial Unicode MS" w:cs="Arial"/>
                <w:sz w:val="20"/>
                <w:szCs w:val="20"/>
              </w:rPr>
            </w:pPr>
            <w:r w:rsidRPr="00F41243">
              <w:rPr>
                <w:rFonts w:eastAsia="Arial Unicode MS" w:cs="Arial"/>
                <w:sz w:val="20"/>
                <w:szCs w:val="20"/>
              </w:rPr>
              <w:t>5.8</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99.4</w:t>
            </w:r>
          </w:p>
        </w:tc>
      </w:tr>
      <w:tr w:rsidR="00D66945" w:rsidRPr="007828C4" w:rsidTr="00A33453">
        <w:trPr>
          <w:trHeight w:val="431"/>
        </w:trPr>
        <w:tc>
          <w:tcPr>
            <w:tcW w:w="2705" w:type="dxa"/>
          </w:tcPr>
          <w:p w:rsidR="00D66945" w:rsidRPr="007828C4" w:rsidRDefault="00D66945" w:rsidP="00A33453">
            <w:pPr>
              <w:rPr>
                <w:rFonts w:eastAsia="Arial Unicode MS" w:cs="Arial"/>
                <w:sz w:val="20"/>
                <w:szCs w:val="20"/>
              </w:rPr>
            </w:pPr>
            <w:r w:rsidRPr="007828C4">
              <w:rPr>
                <w:rFonts w:eastAsia="Arial Unicode MS" w:cs="Arial"/>
                <w:sz w:val="20"/>
                <w:szCs w:val="20"/>
              </w:rPr>
              <w:t>Direct property</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608.1</w:t>
            </w:r>
          </w:p>
        </w:tc>
        <w:tc>
          <w:tcPr>
            <w:tcW w:w="1661" w:type="dxa"/>
          </w:tcPr>
          <w:p w:rsidR="00D66945" w:rsidRPr="0018298A" w:rsidRDefault="00D66945" w:rsidP="00A33453">
            <w:pPr>
              <w:jc w:val="right"/>
              <w:rPr>
                <w:rFonts w:eastAsia="Arial Unicode MS" w:cs="Arial"/>
                <w:sz w:val="20"/>
                <w:szCs w:val="20"/>
              </w:rPr>
            </w:pPr>
            <w:r>
              <w:rPr>
                <w:rFonts w:eastAsia="Arial Unicode MS" w:cs="Arial"/>
                <w:sz w:val="20"/>
                <w:szCs w:val="20"/>
              </w:rPr>
              <w:t>33.6</w:t>
            </w:r>
          </w:p>
        </w:tc>
        <w:tc>
          <w:tcPr>
            <w:tcW w:w="1618" w:type="dxa"/>
          </w:tcPr>
          <w:p w:rsidR="00D66945" w:rsidRPr="0018298A" w:rsidRDefault="00D66945" w:rsidP="00A33453">
            <w:pPr>
              <w:jc w:val="right"/>
              <w:rPr>
                <w:rFonts w:eastAsia="Arial Unicode MS" w:cs="Arial"/>
                <w:sz w:val="20"/>
                <w:szCs w:val="20"/>
              </w:rPr>
            </w:pPr>
            <w:r w:rsidRPr="0018298A">
              <w:rPr>
                <w:rFonts w:eastAsia="Arial Unicode MS" w:cs="Arial"/>
                <w:sz w:val="20"/>
                <w:szCs w:val="20"/>
              </w:rPr>
              <w:t>(15.0)</w:t>
            </w:r>
          </w:p>
        </w:tc>
        <w:tc>
          <w:tcPr>
            <w:tcW w:w="1512" w:type="dxa"/>
          </w:tcPr>
          <w:p w:rsidR="00D66945" w:rsidRPr="00B21CC0" w:rsidRDefault="00D66945" w:rsidP="00A33453">
            <w:pPr>
              <w:jc w:val="right"/>
              <w:rPr>
                <w:rFonts w:eastAsia="Arial Unicode MS" w:cs="Arial"/>
                <w:sz w:val="20"/>
                <w:szCs w:val="20"/>
                <w:highlight w:val="yellow"/>
              </w:rPr>
            </w:pPr>
            <w:r w:rsidRPr="006416A1">
              <w:rPr>
                <w:rFonts w:eastAsia="Arial Unicode MS" w:cs="Arial"/>
                <w:sz w:val="20"/>
                <w:szCs w:val="20"/>
              </w:rPr>
              <w:t>10.</w:t>
            </w:r>
            <w:r>
              <w:rPr>
                <w:rFonts w:eastAsia="Arial Unicode MS" w:cs="Arial"/>
                <w:sz w:val="20"/>
                <w:szCs w:val="20"/>
              </w:rPr>
              <w:t>3</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637.0</w:t>
            </w:r>
          </w:p>
        </w:tc>
      </w:tr>
      <w:tr w:rsidR="00D66945" w:rsidRPr="007828C4" w:rsidTr="00A33453">
        <w:trPr>
          <w:trHeight w:val="431"/>
        </w:trPr>
        <w:tc>
          <w:tcPr>
            <w:tcW w:w="2705" w:type="dxa"/>
          </w:tcPr>
          <w:p w:rsidR="00D66945" w:rsidRPr="00E344AA" w:rsidRDefault="00D66945" w:rsidP="00A33453">
            <w:pPr>
              <w:rPr>
                <w:rFonts w:eastAsia="Arial Unicode MS" w:cs="Arial"/>
                <w:sz w:val="20"/>
                <w:szCs w:val="20"/>
              </w:rPr>
            </w:pPr>
          </w:p>
        </w:tc>
        <w:tc>
          <w:tcPr>
            <w:tcW w:w="1477" w:type="dxa"/>
          </w:tcPr>
          <w:p w:rsidR="00D66945" w:rsidRPr="00E344AA" w:rsidRDefault="00D66945" w:rsidP="00A33453">
            <w:pPr>
              <w:jc w:val="right"/>
              <w:rPr>
                <w:rFonts w:eastAsia="Arial Unicode MS" w:cs="Arial"/>
                <w:b/>
                <w:sz w:val="20"/>
                <w:szCs w:val="20"/>
              </w:rPr>
            </w:pPr>
            <w:r w:rsidRPr="00E344AA">
              <w:rPr>
                <w:rFonts w:eastAsia="Arial Unicode MS" w:cs="Arial"/>
                <w:b/>
                <w:sz w:val="20"/>
                <w:szCs w:val="20"/>
              </w:rPr>
              <w:t>5,800.4</w:t>
            </w:r>
          </w:p>
        </w:tc>
        <w:tc>
          <w:tcPr>
            <w:tcW w:w="1661" w:type="dxa"/>
          </w:tcPr>
          <w:p w:rsidR="00D66945" w:rsidRPr="00B21CC0" w:rsidRDefault="00D66945" w:rsidP="00A33453">
            <w:pPr>
              <w:jc w:val="right"/>
              <w:rPr>
                <w:rFonts w:eastAsia="Arial Unicode MS" w:cs="Arial"/>
                <w:b/>
                <w:sz w:val="20"/>
                <w:szCs w:val="20"/>
                <w:highlight w:val="yellow"/>
              </w:rPr>
            </w:pPr>
            <w:r w:rsidRPr="00F41243">
              <w:rPr>
                <w:rFonts w:eastAsia="Arial Unicode MS" w:cs="Arial"/>
                <w:b/>
                <w:sz w:val="20"/>
                <w:szCs w:val="20"/>
              </w:rPr>
              <w:t>5,603.9</w:t>
            </w:r>
          </w:p>
        </w:tc>
        <w:tc>
          <w:tcPr>
            <w:tcW w:w="1618" w:type="dxa"/>
          </w:tcPr>
          <w:p w:rsidR="00D66945" w:rsidRPr="00B21CC0" w:rsidRDefault="00D66945" w:rsidP="00A33453">
            <w:pPr>
              <w:jc w:val="right"/>
              <w:rPr>
                <w:rFonts w:eastAsia="Arial Unicode MS" w:cs="Arial"/>
                <w:b/>
                <w:sz w:val="20"/>
                <w:szCs w:val="20"/>
                <w:highlight w:val="yellow"/>
              </w:rPr>
            </w:pPr>
            <w:r>
              <w:rPr>
                <w:rFonts w:eastAsia="Arial Unicode MS" w:cs="Arial"/>
                <w:b/>
                <w:sz w:val="20"/>
                <w:szCs w:val="20"/>
              </w:rPr>
              <w:t>(</w:t>
            </w:r>
            <w:r w:rsidRPr="00F41243">
              <w:rPr>
                <w:rFonts w:eastAsia="Arial Unicode MS" w:cs="Arial"/>
                <w:b/>
                <w:sz w:val="20"/>
                <w:szCs w:val="20"/>
              </w:rPr>
              <w:t>5,409.</w:t>
            </w:r>
            <w:r>
              <w:rPr>
                <w:rFonts w:eastAsia="Arial Unicode MS" w:cs="Arial"/>
                <w:b/>
                <w:sz w:val="20"/>
                <w:szCs w:val="20"/>
              </w:rPr>
              <w:t>7)</w:t>
            </w:r>
          </w:p>
        </w:tc>
        <w:tc>
          <w:tcPr>
            <w:tcW w:w="1512" w:type="dxa"/>
          </w:tcPr>
          <w:p w:rsidR="00D66945" w:rsidRPr="00E344AA" w:rsidRDefault="00D66945" w:rsidP="00A33453">
            <w:pPr>
              <w:jc w:val="right"/>
              <w:rPr>
                <w:rFonts w:eastAsia="Arial Unicode MS" w:cs="Arial"/>
                <w:b/>
                <w:sz w:val="20"/>
                <w:szCs w:val="20"/>
              </w:rPr>
            </w:pPr>
            <w:r>
              <w:rPr>
                <w:rFonts w:eastAsia="Arial Unicode MS" w:cs="Arial"/>
                <w:b/>
                <w:sz w:val="20"/>
                <w:szCs w:val="20"/>
              </w:rPr>
              <w:t>1,137.8</w:t>
            </w:r>
          </w:p>
        </w:tc>
        <w:tc>
          <w:tcPr>
            <w:tcW w:w="1477" w:type="dxa"/>
          </w:tcPr>
          <w:p w:rsidR="00D66945" w:rsidRPr="00E344AA" w:rsidRDefault="00D66945" w:rsidP="00A33453">
            <w:pPr>
              <w:jc w:val="right"/>
              <w:rPr>
                <w:rFonts w:eastAsia="Arial Unicode MS" w:cs="Arial"/>
                <w:b/>
                <w:sz w:val="20"/>
                <w:szCs w:val="20"/>
              </w:rPr>
            </w:pPr>
            <w:r w:rsidRPr="00E344AA">
              <w:rPr>
                <w:rFonts w:eastAsia="Arial Unicode MS" w:cs="Arial"/>
                <w:b/>
                <w:sz w:val="20"/>
                <w:szCs w:val="20"/>
              </w:rPr>
              <w:t>7,132.4</w:t>
            </w:r>
          </w:p>
        </w:tc>
      </w:tr>
      <w:tr w:rsidR="00D66945" w:rsidRPr="007828C4" w:rsidTr="00A33453">
        <w:trPr>
          <w:trHeight w:val="431"/>
        </w:trPr>
        <w:tc>
          <w:tcPr>
            <w:tcW w:w="2705" w:type="dxa"/>
          </w:tcPr>
          <w:p w:rsidR="00D66945" w:rsidRPr="00E344AA" w:rsidRDefault="00D66945" w:rsidP="00A33453">
            <w:pPr>
              <w:rPr>
                <w:rFonts w:eastAsia="Arial Unicode MS" w:cs="Arial"/>
                <w:sz w:val="20"/>
                <w:szCs w:val="20"/>
              </w:rPr>
            </w:pPr>
            <w:r w:rsidRPr="00E344AA">
              <w:rPr>
                <w:rFonts w:eastAsia="Arial Unicode MS" w:cs="Arial"/>
                <w:sz w:val="20"/>
                <w:szCs w:val="20"/>
              </w:rPr>
              <w:t>Derivative Contracts:</w:t>
            </w:r>
          </w:p>
          <w:p w:rsidR="00D66945" w:rsidRPr="00E344AA" w:rsidRDefault="00D66945" w:rsidP="00A33453">
            <w:pPr>
              <w:rPr>
                <w:rFonts w:eastAsia="Arial Unicode MS" w:cs="Arial"/>
                <w:sz w:val="20"/>
                <w:szCs w:val="20"/>
              </w:rPr>
            </w:pPr>
          </w:p>
        </w:tc>
        <w:tc>
          <w:tcPr>
            <w:tcW w:w="1477" w:type="dxa"/>
          </w:tcPr>
          <w:p w:rsidR="00D66945" w:rsidRPr="00E344AA" w:rsidRDefault="00D66945" w:rsidP="00A33453">
            <w:pPr>
              <w:jc w:val="right"/>
              <w:rPr>
                <w:rFonts w:eastAsia="Arial Unicode MS" w:cs="Arial"/>
                <w:sz w:val="20"/>
                <w:szCs w:val="20"/>
              </w:rPr>
            </w:pPr>
          </w:p>
        </w:tc>
        <w:tc>
          <w:tcPr>
            <w:tcW w:w="1661" w:type="dxa"/>
          </w:tcPr>
          <w:p w:rsidR="00D66945" w:rsidRPr="00E344AA" w:rsidRDefault="00D66945" w:rsidP="00A33453">
            <w:pPr>
              <w:jc w:val="right"/>
              <w:rPr>
                <w:rFonts w:eastAsia="Arial Unicode MS" w:cs="Arial"/>
                <w:sz w:val="20"/>
                <w:szCs w:val="20"/>
              </w:rPr>
            </w:pPr>
          </w:p>
        </w:tc>
        <w:tc>
          <w:tcPr>
            <w:tcW w:w="1618" w:type="dxa"/>
          </w:tcPr>
          <w:p w:rsidR="00D66945" w:rsidRPr="00E344AA" w:rsidRDefault="00D66945" w:rsidP="00A33453">
            <w:pPr>
              <w:jc w:val="right"/>
              <w:rPr>
                <w:rFonts w:eastAsia="Arial Unicode MS" w:cs="Arial"/>
                <w:sz w:val="20"/>
                <w:szCs w:val="20"/>
              </w:rPr>
            </w:pPr>
          </w:p>
        </w:tc>
        <w:tc>
          <w:tcPr>
            <w:tcW w:w="1512" w:type="dxa"/>
          </w:tcPr>
          <w:p w:rsidR="00D66945" w:rsidRPr="00E344AA" w:rsidRDefault="00D66945" w:rsidP="00A33453">
            <w:pPr>
              <w:jc w:val="right"/>
              <w:rPr>
                <w:rFonts w:eastAsia="Arial Unicode MS" w:cs="Arial"/>
                <w:sz w:val="20"/>
                <w:szCs w:val="20"/>
              </w:rPr>
            </w:pPr>
          </w:p>
        </w:tc>
        <w:tc>
          <w:tcPr>
            <w:tcW w:w="1477" w:type="dxa"/>
          </w:tcPr>
          <w:p w:rsidR="00D66945" w:rsidRPr="00E344AA" w:rsidRDefault="00D66945" w:rsidP="00A33453">
            <w:pPr>
              <w:jc w:val="right"/>
              <w:rPr>
                <w:rFonts w:eastAsia="Arial Unicode MS" w:cs="Arial"/>
                <w:sz w:val="20"/>
                <w:szCs w:val="20"/>
              </w:rPr>
            </w:pPr>
          </w:p>
        </w:tc>
      </w:tr>
      <w:tr w:rsidR="00D66945" w:rsidRPr="00606275" w:rsidTr="00A33453">
        <w:trPr>
          <w:trHeight w:val="431"/>
        </w:trPr>
        <w:tc>
          <w:tcPr>
            <w:tcW w:w="2705" w:type="dxa"/>
          </w:tcPr>
          <w:p w:rsidR="00D66945" w:rsidRPr="00E344AA" w:rsidRDefault="00D66945" w:rsidP="00A33453">
            <w:pPr>
              <w:rPr>
                <w:rFonts w:eastAsia="Arial Unicode MS" w:cs="Arial"/>
                <w:sz w:val="20"/>
                <w:szCs w:val="20"/>
              </w:rPr>
            </w:pPr>
            <w:r w:rsidRPr="00E344AA">
              <w:rPr>
                <w:rFonts w:eastAsia="Arial Unicode MS" w:cs="Arial"/>
                <w:sz w:val="20"/>
                <w:szCs w:val="20"/>
              </w:rPr>
              <w:t>Forward currency contracts asset value</w:t>
            </w:r>
          </w:p>
        </w:tc>
        <w:tc>
          <w:tcPr>
            <w:tcW w:w="1477" w:type="dxa"/>
          </w:tcPr>
          <w:p w:rsidR="00D66945" w:rsidRPr="00E344AA" w:rsidRDefault="00D66945" w:rsidP="00A33453">
            <w:pPr>
              <w:jc w:val="right"/>
              <w:rPr>
                <w:rFonts w:eastAsia="Arial Unicode MS" w:cs="Arial"/>
                <w:sz w:val="20"/>
                <w:szCs w:val="20"/>
              </w:rPr>
            </w:pPr>
          </w:p>
          <w:p w:rsidR="00D66945" w:rsidRPr="00E344AA" w:rsidRDefault="00D66945" w:rsidP="00A33453">
            <w:pPr>
              <w:jc w:val="right"/>
              <w:rPr>
                <w:rFonts w:eastAsia="Arial Unicode MS" w:cs="Arial"/>
                <w:sz w:val="20"/>
                <w:szCs w:val="20"/>
              </w:rPr>
            </w:pPr>
            <w:r w:rsidRPr="00E344AA">
              <w:rPr>
                <w:rFonts w:eastAsia="Arial Unicode MS" w:cs="Arial"/>
                <w:sz w:val="20"/>
                <w:szCs w:val="20"/>
              </w:rPr>
              <w:t>294.5</w:t>
            </w:r>
          </w:p>
        </w:tc>
        <w:tc>
          <w:tcPr>
            <w:tcW w:w="1661" w:type="dxa"/>
          </w:tcPr>
          <w:p w:rsidR="00D66945" w:rsidRPr="00E344AA" w:rsidRDefault="00D66945" w:rsidP="00A33453">
            <w:pPr>
              <w:jc w:val="right"/>
              <w:rPr>
                <w:rFonts w:eastAsia="Arial Unicode MS" w:cs="Arial"/>
                <w:sz w:val="20"/>
                <w:szCs w:val="20"/>
              </w:rPr>
            </w:pPr>
          </w:p>
        </w:tc>
        <w:tc>
          <w:tcPr>
            <w:tcW w:w="1618" w:type="dxa"/>
          </w:tcPr>
          <w:p w:rsidR="00D66945" w:rsidRPr="00E344AA" w:rsidRDefault="00D66945" w:rsidP="00A33453">
            <w:pPr>
              <w:jc w:val="right"/>
              <w:rPr>
                <w:rFonts w:eastAsia="Arial Unicode MS" w:cs="Arial"/>
                <w:sz w:val="20"/>
                <w:szCs w:val="20"/>
              </w:rPr>
            </w:pPr>
          </w:p>
        </w:tc>
        <w:tc>
          <w:tcPr>
            <w:tcW w:w="1512" w:type="dxa"/>
          </w:tcPr>
          <w:p w:rsidR="00D66945" w:rsidRPr="00E344AA" w:rsidRDefault="00D66945" w:rsidP="00A33453">
            <w:pPr>
              <w:jc w:val="right"/>
              <w:rPr>
                <w:rFonts w:eastAsia="Arial Unicode MS" w:cs="Arial"/>
                <w:sz w:val="20"/>
                <w:szCs w:val="20"/>
              </w:rPr>
            </w:pPr>
          </w:p>
        </w:tc>
        <w:tc>
          <w:tcPr>
            <w:tcW w:w="1477" w:type="dxa"/>
          </w:tcPr>
          <w:p w:rsidR="00D66945" w:rsidRPr="00E344AA" w:rsidRDefault="00D66945" w:rsidP="00A33453">
            <w:pPr>
              <w:jc w:val="right"/>
              <w:rPr>
                <w:rFonts w:eastAsia="Arial Unicode MS" w:cs="Arial"/>
                <w:sz w:val="20"/>
                <w:szCs w:val="20"/>
              </w:rPr>
            </w:pPr>
          </w:p>
          <w:p w:rsidR="00D66945" w:rsidRPr="00E344AA" w:rsidRDefault="00D66945" w:rsidP="00A33453">
            <w:pPr>
              <w:jc w:val="right"/>
              <w:rPr>
                <w:rFonts w:eastAsia="Arial Unicode MS" w:cs="Arial"/>
                <w:sz w:val="20"/>
                <w:szCs w:val="20"/>
              </w:rPr>
            </w:pPr>
            <w:r w:rsidRPr="00E344AA">
              <w:rPr>
                <w:rFonts w:eastAsia="Arial Unicode MS" w:cs="Arial"/>
                <w:sz w:val="20"/>
                <w:szCs w:val="20"/>
              </w:rPr>
              <w:t>-</w:t>
            </w:r>
          </w:p>
        </w:tc>
      </w:tr>
      <w:tr w:rsidR="00D66945" w:rsidRPr="007828C4" w:rsidTr="00A33453">
        <w:trPr>
          <w:trHeight w:val="431"/>
        </w:trPr>
        <w:tc>
          <w:tcPr>
            <w:tcW w:w="2705" w:type="dxa"/>
          </w:tcPr>
          <w:p w:rsidR="00D66945" w:rsidRPr="00E344AA" w:rsidRDefault="00D66945" w:rsidP="00A33453">
            <w:pPr>
              <w:rPr>
                <w:rFonts w:eastAsia="Arial Unicode MS" w:cs="Arial"/>
                <w:sz w:val="20"/>
                <w:szCs w:val="20"/>
              </w:rPr>
            </w:pPr>
            <w:r w:rsidRPr="00E344AA">
              <w:rPr>
                <w:rFonts w:eastAsia="Arial Unicode MS" w:cs="Arial"/>
                <w:sz w:val="20"/>
                <w:szCs w:val="20"/>
              </w:rPr>
              <w:t>Forward currency contracts liability value</w:t>
            </w:r>
          </w:p>
        </w:tc>
        <w:tc>
          <w:tcPr>
            <w:tcW w:w="1477" w:type="dxa"/>
          </w:tcPr>
          <w:p w:rsidR="00D66945" w:rsidRPr="00E344AA" w:rsidRDefault="00D66945" w:rsidP="00A33453">
            <w:pPr>
              <w:jc w:val="right"/>
              <w:rPr>
                <w:rFonts w:eastAsia="Arial Unicode MS" w:cs="Arial"/>
                <w:sz w:val="20"/>
                <w:szCs w:val="20"/>
              </w:rPr>
            </w:pPr>
          </w:p>
          <w:p w:rsidR="00D66945" w:rsidRPr="00E344AA" w:rsidRDefault="00D66945" w:rsidP="00A33453">
            <w:pPr>
              <w:jc w:val="right"/>
              <w:rPr>
                <w:rFonts w:eastAsia="Arial Unicode MS" w:cs="Arial"/>
                <w:sz w:val="20"/>
                <w:szCs w:val="20"/>
              </w:rPr>
            </w:pPr>
            <w:r w:rsidRPr="00E344AA">
              <w:rPr>
                <w:rFonts w:eastAsia="Arial Unicode MS" w:cs="Arial"/>
                <w:sz w:val="20"/>
                <w:szCs w:val="20"/>
              </w:rPr>
              <w:t>(291.0)</w:t>
            </w:r>
          </w:p>
        </w:tc>
        <w:tc>
          <w:tcPr>
            <w:tcW w:w="1661" w:type="dxa"/>
          </w:tcPr>
          <w:p w:rsidR="00D66945" w:rsidRPr="00E344AA" w:rsidRDefault="00D66945" w:rsidP="00A33453">
            <w:pPr>
              <w:jc w:val="right"/>
              <w:rPr>
                <w:rFonts w:eastAsia="Arial Unicode MS" w:cs="Arial"/>
                <w:sz w:val="20"/>
                <w:szCs w:val="20"/>
              </w:rPr>
            </w:pPr>
          </w:p>
        </w:tc>
        <w:tc>
          <w:tcPr>
            <w:tcW w:w="1618" w:type="dxa"/>
          </w:tcPr>
          <w:p w:rsidR="00D66945" w:rsidRPr="00E344AA" w:rsidRDefault="00D66945" w:rsidP="00A33453">
            <w:pPr>
              <w:jc w:val="right"/>
              <w:rPr>
                <w:rFonts w:eastAsia="Arial Unicode MS" w:cs="Arial"/>
                <w:sz w:val="20"/>
                <w:szCs w:val="20"/>
              </w:rPr>
            </w:pPr>
          </w:p>
        </w:tc>
        <w:tc>
          <w:tcPr>
            <w:tcW w:w="1512" w:type="dxa"/>
          </w:tcPr>
          <w:p w:rsidR="00D66945" w:rsidRPr="00E344AA" w:rsidRDefault="00D66945" w:rsidP="00A33453">
            <w:pPr>
              <w:jc w:val="right"/>
              <w:rPr>
                <w:rFonts w:eastAsia="Arial Unicode MS" w:cs="Arial"/>
                <w:sz w:val="20"/>
                <w:szCs w:val="20"/>
              </w:rPr>
            </w:pPr>
          </w:p>
        </w:tc>
        <w:tc>
          <w:tcPr>
            <w:tcW w:w="1477" w:type="dxa"/>
          </w:tcPr>
          <w:p w:rsidR="00D66945" w:rsidRPr="00E344AA" w:rsidRDefault="00D66945" w:rsidP="00A33453">
            <w:pPr>
              <w:jc w:val="right"/>
              <w:rPr>
                <w:rFonts w:eastAsia="Arial Unicode MS" w:cs="Arial"/>
                <w:sz w:val="20"/>
                <w:szCs w:val="20"/>
              </w:rPr>
            </w:pPr>
          </w:p>
          <w:p w:rsidR="00D66945" w:rsidRPr="00E344AA" w:rsidRDefault="00D66945" w:rsidP="00A33453">
            <w:pPr>
              <w:jc w:val="right"/>
              <w:rPr>
                <w:rFonts w:eastAsia="Arial Unicode MS" w:cs="Arial"/>
                <w:sz w:val="20"/>
                <w:szCs w:val="20"/>
              </w:rPr>
            </w:pPr>
            <w:r w:rsidRPr="00E344AA">
              <w:rPr>
                <w:rFonts w:eastAsia="Arial Unicode MS" w:cs="Arial"/>
                <w:sz w:val="20"/>
                <w:szCs w:val="20"/>
              </w:rPr>
              <w:t>-</w:t>
            </w:r>
          </w:p>
        </w:tc>
      </w:tr>
      <w:tr w:rsidR="00D66945" w:rsidRPr="007828C4" w:rsidTr="00A33453">
        <w:trPr>
          <w:trHeight w:val="431"/>
        </w:trPr>
        <w:tc>
          <w:tcPr>
            <w:tcW w:w="2705" w:type="dxa"/>
          </w:tcPr>
          <w:p w:rsidR="00D66945" w:rsidRPr="007F2F65" w:rsidRDefault="00D66945" w:rsidP="00A33453">
            <w:pPr>
              <w:rPr>
                <w:rFonts w:eastAsia="Arial Unicode MS" w:cs="Arial"/>
                <w:sz w:val="20"/>
                <w:szCs w:val="20"/>
              </w:rPr>
            </w:pPr>
            <w:r w:rsidRPr="007F2F65">
              <w:rPr>
                <w:rFonts w:eastAsia="Arial Unicode MS" w:cs="Arial"/>
                <w:sz w:val="20"/>
                <w:szCs w:val="20"/>
              </w:rPr>
              <w:t>Forward currency contracts</w:t>
            </w:r>
          </w:p>
        </w:tc>
        <w:tc>
          <w:tcPr>
            <w:tcW w:w="1477" w:type="dxa"/>
          </w:tcPr>
          <w:p w:rsidR="00D66945" w:rsidRPr="007F2F65" w:rsidRDefault="00D66945" w:rsidP="00A33453">
            <w:pPr>
              <w:jc w:val="right"/>
              <w:rPr>
                <w:rFonts w:eastAsia="Arial Unicode MS" w:cs="Arial"/>
                <w:b/>
                <w:sz w:val="20"/>
                <w:szCs w:val="20"/>
              </w:rPr>
            </w:pPr>
            <w:r>
              <w:rPr>
                <w:rFonts w:eastAsia="Arial Unicode MS" w:cs="Arial"/>
                <w:b/>
                <w:sz w:val="20"/>
                <w:szCs w:val="20"/>
              </w:rPr>
              <w:t>3.5</w:t>
            </w:r>
          </w:p>
        </w:tc>
        <w:tc>
          <w:tcPr>
            <w:tcW w:w="1661" w:type="dxa"/>
          </w:tcPr>
          <w:p w:rsidR="00D66945" w:rsidRPr="00F41243" w:rsidRDefault="00D66945" w:rsidP="00A33453">
            <w:pPr>
              <w:jc w:val="right"/>
              <w:rPr>
                <w:rFonts w:eastAsia="Arial Unicode MS" w:cs="Arial"/>
                <w:b/>
                <w:sz w:val="20"/>
                <w:szCs w:val="20"/>
              </w:rPr>
            </w:pPr>
            <w:r w:rsidRPr="00F41243">
              <w:rPr>
                <w:rFonts w:eastAsia="Arial Unicode MS" w:cs="Arial"/>
                <w:b/>
                <w:sz w:val="20"/>
                <w:szCs w:val="20"/>
              </w:rPr>
              <w:t>47.7</w:t>
            </w:r>
          </w:p>
        </w:tc>
        <w:tc>
          <w:tcPr>
            <w:tcW w:w="1618" w:type="dxa"/>
          </w:tcPr>
          <w:p w:rsidR="00D66945" w:rsidRPr="00F41243" w:rsidRDefault="00D66945" w:rsidP="00A33453">
            <w:pPr>
              <w:jc w:val="right"/>
              <w:rPr>
                <w:rFonts w:eastAsia="Arial Unicode MS" w:cs="Arial"/>
                <w:b/>
                <w:sz w:val="20"/>
                <w:szCs w:val="20"/>
              </w:rPr>
            </w:pPr>
            <w:r w:rsidRPr="00F41243">
              <w:rPr>
                <w:rFonts w:eastAsia="Arial Unicode MS" w:cs="Arial"/>
                <w:b/>
                <w:sz w:val="20"/>
                <w:szCs w:val="20"/>
              </w:rPr>
              <w:t>(13.2)</w:t>
            </w:r>
          </w:p>
        </w:tc>
        <w:tc>
          <w:tcPr>
            <w:tcW w:w="1512" w:type="dxa"/>
          </w:tcPr>
          <w:p w:rsidR="00D66945" w:rsidRPr="00F41243" w:rsidRDefault="00D66945" w:rsidP="00A33453">
            <w:pPr>
              <w:jc w:val="right"/>
              <w:rPr>
                <w:rFonts w:eastAsia="Arial Unicode MS" w:cs="Arial"/>
                <w:b/>
                <w:sz w:val="20"/>
                <w:szCs w:val="20"/>
              </w:rPr>
            </w:pPr>
            <w:r w:rsidRPr="00F41243">
              <w:rPr>
                <w:rFonts w:eastAsia="Arial Unicode MS" w:cs="Arial"/>
                <w:b/>
                <w:sz w:val="20"/>
                <w:szCs w:val="20"/>
              </w:rPr>
              <w:t>(38.0)</w:t>
            </w:r>
          </w:p>
        </w:tc>
        <w:tc>
          <w:tcPr>
            <w:tcW w:w="1477" w:type="dxa"/>
          </w:tcPr>
          <w:p w:rsidR="00D66945" w:rsidRPr="007F2F65" w:rsidRDefault="00D66945" w:rsidP="00A33453">
            <w:pPr>
              <w:jc w:val="right"/>
              <w:rPr>
                <w:rFonts w:eastAsia="Arial Unicode MS" w:cs="Arial"/>
                <w:b/>
                <w:sz w:val="20"/>
                <w:szCs w:val="20"/>
              </w:rPr>
            </w:pPr>
            <w:r>
              <w:rPr>
                <w:rFonts w:eastAsia="Arial Unicode MS" w:cs="Arial"/>
                <w:sz w:val="20"/>
                <w:szCs w:val="20"/>
              </w:rPr>
              <w:t>-</w:t>
            </w:r>
          </w:p>
        </w:tc>
      </w:tr>
      <w:tr w:rsidR="00D66945" w:rsidRPr="007828C4" w:rsidTr="00A33453">
        <w:trPr>
          <w:trHeight w:val="431"/>
        </w:trPr>
        <w:tc>
          <w:tcPr>
            <w:tcW w:w="2705" w:type="dxa"/>
          </w:tcPr>
          <w:p w:rsidR="00D66945" w:rsidRPr="00E344AA" w:rsidRDefault="00D66945" w:rsidP="00A33453">
            <w:pPr>
              <w:rPr>
                <w:rFonts w:eastAsia="Arial Unicode MS" w:cs="Arial"/>
                <w:sz w:val="20"/>
                <w:szCs w:val="20"/>
              </w:rPr>
            </w:pPr>
            <w:r w:rsidRPr="00E344AA">
              <w:rPr>
                <w:rFonts w:eastAsia="Arial Unicode MS" w:cs="Arial"/>
                <w:sz w:val="20"/>
                <w:szCs w:val="20"/>
              </w:rPr>
              <w:t>Other investment balances:</w:t>
            </w:r>
          </w:p>
          <w:p w:rsidR="00D66945" w:rsidRPr="00E344AA" w:rsidRDefault="00D66945" w:rsidP="00A33453">
            <w:pPr>
              <w:rPr>
                <w:rFonts w:eastAsia="Arial Unicode MS" w:cs="Arial"/>
                <w:sz w:val="20"/>
                <w:szCs w:val="20"/>
              </w:rPr>
            </w:pPr>
          </w:p>
        </w:tc>
        <w:tc>
          <w:tcPr>
            <w:tcW w:w="1477" w:type="dxa"/>
          </w:tcPr>
          <w:p w:rsidR="00D66945" w:rsidRPr="00E344AA" w:rsidRDefault="00D66945" w:rsidP="00A33453">
            <w:pPr>
              <w:jc w:val="right"/>
              <w:rPr>
                <w:rFonts w:eastAsia="Arial Unicode MS" w:cs="Arial"/>
                <w:sz w:val="20"/>
                <w:szCs w:val="20"/>
              </w:rPr>
            </w:pPr>
          </w:p>
        </w:tc>
        <w:tc>
          <w:tcPr>
            <w:tcW w:w="1661" w:type="dxa"/>
          </w:tcPr>
          <w:p w:rsidR="00D66945" w:rsidRPr="00E344AA" w:rsidRDefault="00D66945" w:rsidP="00A33453">
            <w:pPr>
              <w:jc w:val="right"/>
              <w:rPr>
                <w:rFonts w:eastAsia="Arial Unicode MS" w:cs="Arial"/>
                <w:sz w:val="20"/>
                <w:szCs w:val="20"/>
              </w:rPr>
            </w:pPr>
          </w:p>
        </w:tc>
        <w:tc>
          <w:tcPr>
            <w:tcW w:w="1618" w:type="dxa"/>
          </w:tcPr>
          <w:p w:rsidR="00D66945" w:rsidRPr="00E344AA" w:rsidRDefault="00D66945" w:rsidP="00A33453">
            <w:pPr>
              <w:jc w:val="right"/>
              <w:rPr>
                <w:rFonts w:eastAsia="Arial Unicode MS" w:cs="Arial"/>
                <w:sz w:val="20"/>
                <w:szCs w:val="20"/>
              </w:rPr>
            </w:pPr>
          </w:p>
        </w:tc>
        <w:tc>
          <w:tcPr>
            <w:tcW w:w="1512" w:type="dxa"/>
          </w:tcPr>
          <w:p w:rsidR="00D66945" w:rsidRPr="00E344AA" w:rsidRDefault="00D66945" w:rsidP="00A33453">
            <w:pPr>
              <w:jc w:val="right"/>
              <w:rPr>
                <w:rFonts w:eastAsia="Arial Unicode MS" w:cs="Arial"/>
                <w:sz w:val="20"/>
                <w:szCs w:val="20"/>
              </w:rPr>
            </w:pPr>
          </w:p>
        </w:tc>
        <w:tc>
          <w:tcPr>
            <w:tcW w:w="1477" w:type="dxa"/>
          </w:tcPr>
          <w:p w:rsidR="00D66945" w:rsidRPr="00E344AA" w:rsidRDefault="00D66945" w:rsidP="00A33453">
            <w:pPr>
              <w:jc w:val="right"/>
              <w:rPr>
                <w:rFonts w:eastAsia="Arial Unicode MS" w:cs="Arial"/>
                <w:sz w:val="20"/>
                <w:szCs w:val="20"/>
              </w:rPr>
            </w:pPr>
          </w:p>
        </w:tc>
      </w:tr>
      <w:tr w:rsidR="00D66945" w:rsidRPr="007828C4" w:rsidTr="00A33453">
        <w:trPr>
          <w:trHeight w:val="431"/>
        </w:trPr>
        <w:tc>
          <w:tcPr>
            <w:tcW w:w="2705" w:type="dxa"/>
          </w:tcPr>
          <w:p w:rsidR="00D66945" w:rsidRPr="007828C4" w:rsidRDefault="00D66945" w:rsidP="00A33453">
            <w:pPr>
              <w:rPr>
                <w:rFonts w:eastAsia="Arial Unicode MS" w:cs="Arial"/>
                <w:sz w:val="20"/>
                <w:szCs w:val="20"/>
              </w:rPr>
            </w:pPr>
            <w:r w:rsidRPr="007828C4">
              <w:rPr>
                <w:rFonts w:eastAsia="Arial Unicode MS" w:cs="Arial"/>
                <w:sz w:val="20"/>
                <w:szCs w:val="20"/>
              </w:rPr>
              <w:t>Cash deposits</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210.3</w:t>
            </w:r>
          </w:p>
        </w:tc>
        <w:tc>
          <w:tcPr>
            <w:tcW w:w="1661" w:type="dxa"/>
          </w:tcPr>
          <w:p w:rsidR="00D66945" w:rsidRPr="007828C4" w:rsidRDefault="00D66945" w:rsidP="00A33453">
            <w:pPr>
              <w:jc w:val="right"/>
              <w:rPr>
                <w:rFonts w:eastAsia="Arial Unicode MS" w:cs="Arial"/>
                <w:sz w:val="20"/>
                <w:szCs w:val="20"/>
              </w:rPr>
            </w:pPr>
          </w:p>
        </w:tc>
        <w:tc>
          <w:tcPr>
            <w:tcW w:w="1618" w:type="dxa"/>
          </w:tcPr>
          <w:p w:rsidR="00D66945" w:rsidRPr="007828C4" w:rsidRDefault="00D66945" w:rsidP="00A33453">
            <w:pPr>
              <w:jc w:val="right"/>
              <w:rPr>
                <w:rFonts w:eastAsia="Arial Unicode MS" w:cs="Arial"/>
                <w:sz w:val="20"/>
                <w:szCs w:val="20"/>
              </w:rPr>
            </w:pPr>
          </w:p>
        </w:tc>
        <w:tc>
          <w:tcPr>
            <w:tcW w:w="1512" w:type="dxa"/>
          </w:tcPr>
          <w:p w:rsidR="00D66945" w:rsidRPr="007828C4" w:rsidRDefault="00D66945" w:rsidP="00A33453">
            <w:pPr>
              <w:jc w:val="right"/>
              <w:rPr>
                <w:rFonts w:eastAsia="Arial Unicode MS" w:cs="Arial"/>
                <w:sz w:val="20"/>
                <w:szCs w:val="20"/>
              </w:rPr>
            </w:pP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56.3</w:t>
            </w:r>
          </w:p>
        </w:tc>
      </w:tr>
      <w:tr w:rsidR="00D66945" w:rsidRPr="007828C4" w:rsidTr="00A33453">
        <w:trPr>
          <w:trHeight w:val="431"/>
        </w:trPr>
        <w:tc>
          <w:tcPr>
            <w:tcW w:w="2705" w:type="dxa"/>
          </w:tcPr>
          <w:p w:rsidR="00D66945" w:rsidRPr="007828C4" w:rsidRDefault="00D66945" w:rsidP="00A33453">
            <w:pPr>
              <w:rPr>
                <w:rFonts w:eastAsia="Arial Unicode MS" w:cs="Arial"/>
                <w:sz w:val="20"/>
                <w:szCs w:val="20"/>
              </w:rPr>
            </w:pPr>
            <w:r w:rsidRPr="007828C4">
              <w:rPr>
                <w:rFonts w:eastAsia="Arial Unicode MS" w:cs="Arial"/>
                <w:sz w:val="20"/>
                <w:szCs w:val="20"/>
              </w:rPr>
              <w:t>Investment accruals</w:t>
            </w: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13.1</w:t>
            </w:r>
          </w:p>
        </w:tc>
        <w:tc>
          <w:tcPr>
            <w:tcW w:w="1661" w:type="dxa"/>
          </w:tcPr>
          <w:p w:rsidR="00D66945" w:rsidRPr="007828C4" w:rsidRDefault="00D66945" w:rsidP="00A33453">
            <w:pPr>
              <w:jc w:val="right"/>
              <w:rPr>
                <w:rFonts w:eastAsia="Arial Unicode MS" w:cs="Arial"/>
                <w:sz w:val="20"/>
                <w:szCs w:val="20"/>
              </w:rPr>
            </w:pPr>
          </w:p>
        </w:tc>
        <w:tc>
          <w:tcPr>
            <w:tcW w:w="1618" w:type="dxa"/>
          </w:tcPr>
          <w:p w:rsidR="00D66945" w:rsidRPr="007828C4" w:rsidRDefault="00D66945" w:rsidP="00A33453">
            <w:pPr>
              <w:jc w:val="right"/>
              <w:rPr>
                <w:rFonts w:eastAsia="Arial Unicode MS" w:cs="Arial"/>
                <w:sz w:val="20"/>
                <w:szCs w:val="20"/>
              </w:rPr>
            </w:pPr>
          </w:p>
        </w:tc>
        <w:tc>
          <w:tcPr>
            <w:tcW w:w="1512" w:type="dxa"/>
          </w:tcPr>
          <w:p w:rsidR="00D66945" w:rsidRPr="007828C4" w:rsidRDefault="00D66945" w:rsidP="00A33453">
            <w:pPr>
              <w:jc w:val="right"/>
              <w:rPr>
                <w:rFonts w:eastAsia="Arial Unicode MS" w:cs="Arial"/>
                <w:sz w:val="20"/>
                <w:szCs w:val="20"/>
              </w:rPr>
            </w:pPr>
          </w:p>
        </w:tc>
        <w:tc>
          <w:tcPr>
            <w:tcW w:w="1477" w:type="dxa"/>
          </w:tcPr>
          <w:p w:rsidR="00D66945" w:rsidRPr="007828C4" w:rsidRDefault="00D66945" w:rsidP="00A33453">
            <w:pPr>
              <w:jc w:val="right"/>
              <w:rPr>
                <w:rFonts w:eastAsia="Arial Unicode MS" w:cs="Arial"/>
                <w:sz w:val="20"/>
                <w:szCs w:val="20"/>
              </w:rPr>
            </w:pPr>
            <w:r w:rsidRPr="007828C4">
              <w:rPr>
                <w:rFonts w:eastAsia="Arial Unicode MS" w:cs="Arial"/>
                <w:sz w:val="20"/>
                <w:szCs w:val="20"/>
              </w:rPr>
              <w:t>2.7</w:t>
            </w:r>
          </w:p>
        </w:tc>
      </w:tr>
      <w:tr w:rsidR="00D66945" w:rsidRPr="007828C4" w:rsidTr="00A33453">
        <w:trPr>
          <w:trHeight w:val="431"/>
        </w:trPr>
        <w:tc>
          <w:tcPr>
            <w:tcW w:w="2705" w:type="dxa"/>
            <w:shd w:val="clear" w:color="auto" w:fill="E7E6E6" w:themeFill="background2"/>
          </w:tcPr>
          <w:p w:rsidR="00D66945" w:rsidRPr="007828C4" w:rsidRDefault="00D66945" w:rsidP="00A33453">
            <w:pPr>
              <w:rPr>
                <w:rFonts w:eastAsia="Arial Unicode MS" w:cs="Arial"/>
                <w:b/>
                <w:sz w:val="20"/>
                <w:szCs w:val="20"/>
              </w:rPr>
            </w:pPr>
            <w:r w:rsidRPr="007828C4">
              <w:rPr>
                <w:rFonts w:eastAsia="Arial Unicode MS" w:cs="Arial"/>
                <w:b/>
                <w:sz w:val="20"/>
                <w:szCs w:val="20"/>
              </w:rPr>
              <w:t>Net investment assets</w:t>
            </w:r>
          </w:p>
        </w:tc>
        <w:tc>
          <w:tcPr>
            <w:tcW w:w="1477" w:type="dxa"/>
            <w:shd w:val="clear" w:color="auto" w:fill="E7E6E6" w:themeFill="background2"/>
          </w:tcPr>
          <w:p w:rsidR="00D66945" w:rsidRPr="007828C4" w:rsidRDefault="00D66945" w:rsidP="00A33453">
            <w:pPr>
              <w:jc w:val="right"/>
              <w:rPr>
                <w:rFonts w:eastAsia="Arial Unicode MS" w:cs="Arial"/>
                <w:b/>
                <w:sz w:val="20"/>
                <w:szCs w:val="20"/>
              </w:rPr>
            </w:pPr>
            <w:r w:rsidRPr="00E344AA">
              <w:rPr>
                <w:rFonts w:eastAsia="Arial Unicode MS" w:cs="Arial"/>
                <w:b/>
                <w:sz w:val="20"/>
                <w:szCs w:val="20"/>
              </w:rPr>
              <w:t>6,027.3</w:t>
            </w:r>
          </w:p>
        </w:tc>
        <w:tc>
          <w:tcPr>
            <w:tcW w:w="1661" w:type="dxa"/>
            <w:shd w:val="clear" w:color="auto" w:fill="E7E6E6" w:themeFill="background2"/>
          </w:tcPr>
          <w:p w:rsidR="00D66945" w:rsidRPr="007828C4" w:rsidRDefault="00D66945" w:rsidP="00A33453">
            <w:pPr>
              <w:jc w:val="right"/>
              <w:rPr>
                <w:rFonts w:eastAsia="Arial Unicode MS" w:cs="Arial"/>
                <w:b/>
                <w:sz w:val="20"/>
                <w:szCs w:val="20"/>
              </w:rPr>
            </w:pPr>
          </w:p>
        </w:tc>
        <w:tc>
          <w:tcPr>
            <w:tcW w:w="1618" w:type="dxa"/>
            <w:shd w:val="clear" w:color="auto" w:fill="E7E6E6" w:themeFill="background2"/>
          </w:tcPr>
          <w:p w:rsidR="00D66945" w:rsidRPr="007828C4" w:rsidRDefault="00D66945" w:rsidP="00A33453">
            <w:pPr>
              <w:jc w:val="right"/>
              <w:rPr>
                <w:rFonts w:eastAsia="Arial Unicode MS" w:cs="Arial"/>
                <w:b/>
                <w:sz w:val="20"/>
                <w:szCs w:val="20"/>
              </w:rPr>
            </w:pPr>
          </w:p>
        </w:tc>
        <w:tc>
          <w:tcPr>
            <w:tcW w:w="1512" w:type="dxa"/>
            <w:shd w:val="clear" w:color="auto" w:fill="E7E6E6" w:themeFill="background2"/>
          </w:tcPr>
          <w:p w:rsidR="00D66945" w:rsidRPr="007828C4" w:rsidRDefault="00D66945" w:rsidP="00A33453">
            <w:pPr>
              <w:jc w:val="right"/>
              <w:rPr>
                <w:rFonts w:eastAsia="Arial Unicode MS" w:cs="Arial"/>
                <w:b/>
                <w:sz w:val="20"/>
                <w:szCs w:val="20"/>
              </w:rPr>
            </w:pPr>
          </w:p>
        </w:tc>
        <w:tc>
          <w:tcPr>
            <w:tcW w:w="1477" w:type="dxa"/>
            <w:shd w:val="clear" w:color="auto" w:fill="E7E6E6" w:themeFill="background2"/>
          </w:tcPr>
          <w:p w:rsidR="00D66945" w:rsidRPr="007828C4" w:rsidRDefault="00D66945" w:rsidP="00A33453">
            <w:pPr>
              <w:jc w:val="right"/>
              <w:rPr>
                <w:rFonts w:eastAsia="Arial Unicode MS" w:cs="Arial"/>
                <w:b/>
                <w:sz w:val="20"/>
                <w:szCs w:val="20"/>
              </w:rPr>
            </w:pPr>
            <w:r w:rsidRPr="00E344AA">
              <w:rPr>
                <w:rFonts w:eastAsia="Arial Unicode MS" w:cs="Arial"/>
                <w:b/>
                <w:sz w:val="20"/>
                <w:szCs w:val="20"/>
              </w:rPr>
              <w:t>7,191.4</w:t>
            </w:r>
          </w:p>
        </w:tc>
      </w:tr>
    </w:tbl>
    <w:p w:rsidR="00DE18D2" w:rsidRDefault="00DE18D2" w:rsidP="00D66945">
      <w:pPr>
        <w:keepNext/>
        <w:outlineLvl w:val="4"/>
        <w:rPr>
          <w:rFonts w:eastAsia="Arial Unicode MS" w:cs="Arial"/>
          <w:sz w:val="22"/>
          <w:szCs w:val="22"/>
        </w:rPr>
      </w:pPr>
    </w:p>
    <w:p w:rsidR="00D66945" w:rsidRPr="00A81F61" w:rsidRDefault="00D66945" w:rsidP="00D66945">
      <w:pPr>
        <w:keepNext/>
        <w:outlineLvl w:val="4"/>
        <w:rPr>
          <w:rFonts w:eastAsia="Arial Unicode MS" w:cs="Arial"/>
          <w:bCs/>
          <w:sz w:val="20"/>
          <w:szCs w:val="20"/>
        </w:rPr>
      </w:pPr>
      <w:r>
        <w:rPr>
          <w:rFonts w:eastAsia="Arial Unicode MS" w:cs="Arial"/>
          <w:sz w:val="22"/>
          <w:szCs w:val="22"/>
        </w:rPr>
        <w:t>*</w:t>
      </w:r>
      <w:r>
        <w:rPr>
          <w:rFonts w:eastAsia="Arial Unicode MS" w:cs="Arial"/>
          <w:sz w:val="20"/>
          <w:szCs w:val="20"/>
        </w:rPr>
        <w:t>Change in market value, purchases at cost and derivative payments and sales proceeds and derivative receipts have been restated</w:t>
      </w:r>
      <w:r w:rsidRPr="00B70159">
        <w:rPr>
          <w:rFonts w:eastAsia="Arial Unicode MS" w:cs="Arial"/>
          <w:bCs/>
          <w:sz w:val="20"/>
          <w:szCs w:val="20"/>
        </w:rPr>
        <w:t xml:space="preserve"> </w:t>
      </w:r>
      <w:r>
        <w:rPr>
          <w:rFonts w:eastAsia="Arial Unicode MS" w:cs="Arial"/>
          <w:bCs/>
          <w:sz w:val="20"/>
          <w:szCs w:val="20"/>
        </w:rPr>
        <w:t xml:space="preserve">to include additional fees previously netted off investment value, in line with CIPFA's </w:t>
      </w:r>
      <w:r>
        <w:rPr>
          <w:rFonts w:eastAsia="Arial Unicode MS" w:cs="Arial"/>
          <w:bCs/>
          <w:i/>
          <w:sz w:val="20"/>
          <w:szCs w:val="20"/>
        </w:rPr>
        <w:t>Accounting for Local Government Pension Scheme Management Expenses (2016).</w:t>
      </w:r>
      <w:r>
        <w:rPr>
          <w:rFonts w:eastAsia="Arial Unicode MS" w:cs="Arial"/>
          <w:bCs/>
          <w:sz w:val="20"/>
          <w:szCs w:val="20"/>
        </w:rPr>
        <w:t xml:space="preserve">  </w:t>
      </w:r>
    </w:p>
    <w:p w:rsidR="00D66945" w:rsidRDefault="00D66945" w:rsidP="00D66945">
      <w:pPr>
        <w:contextualSpacing/>
        <w:rPr>
          <w:rFonts w:eastAsia="Arial Unicode MS" w:cs="Arial"/>
          <w:sz w:val="20"/>
          <w:szCs w:val="20"/>
        </w:rPr>
      </w:pPr>
      <w:r w:rsidRPr="00FB63AB">
        <w:rPr>
          <w:rFonts w:eastAsia="Arial Unicode MS" w:cs="Arial"/>
          <w:sz w:val="20"/>
          <w:szCs w:val="20"/>
          <w:vertAlign w:val="superscript"/>
        </w:rPr>
        <w:t>1</w:t>
      </w:r>
      <w:r w:rsidRPr="00FB63AB">
        <w:rPr>
          <w:rFonts w:eastAsia="Arial Unicode MS" w:cs="Arial"/>
          <w:sz w:val="20"/>
          <w:szCs w:val="20"/>
        </w:rPr>
        <w:t>All direct equity holdings were transitioned into the Local Pensions Partnership Global Equities Pool with effect from 1 November 2016.</w:t>
      </w:r>
    </w:p>
    <w:p w:rsidR="00DE18D2" w:rsidRPr="00FB63AB" w:rsidRDefault="00DE18D2" w:rsidP="00D66945">
      <w:pPr>
        <w:contextualSpacing/>
        <w:rPr>
          <w:rFonts w:eastAsia="Arial Unicode MS" w:cs="Arial"/>
          <w:sz w:val="20"/>
          <w:szCs w:val="20"/>
        </w:rPr>
      </w:pPr>
    </w:p>
    <w:p w:rsidR="00D66945" w:rsidRPr="00FB63AB" w:rsidRDefault="00D66945" w:rsidP="00D66945">
      <w:pPr>
        <w:contextualSpacing/>
        <w:rPr>
          <w:rFonts w:eastAsia="Arial Unicode MS" w:cs="Arial"/>
          <w:sz w:val="20"/>
          <w:szCs w:val="20"/>
        </w:rPr>
        <w:sectPr w:rsidR="00D66945" w:rsidRPr="00FB63AB" w:rsidSect="00D66945">
          <w:headerReference w:type="even" r:id="rId27"/>
          <w:headerReference w:type="default" r:id="rId28"/>
          <w:footerReference w:type="default" r:id="rId29"/>
          <w:headerReference w:type="first" r:id="rId30"/>
          <w:pgSz w:w="11900" w:h="16840" w:code="9"/>
          <w:pgMar w:top="862" w:right="720" w:bottom="862" w:left="720" w:header="567" w:footer="567" w:gutter="0"/>
          <w:cols w:space="292"/>
          <w:docGrid w:linePitch="326"/>
        </w:sectPr>
      </w:pPr>
      <w:r w:rsidRPr="00FB63AB">
        <w:rPr>
          <w:rFonts w:eastAsia="Arial Unicode MS" w:cs="Arial"/>
          <w:sz w:val="20"/>
          <w:szCs w:val="20"/>
          <w:vertAlign w:val="superscript"/>
        </w:rPr>
        <w:t>2</w:t>
      </w:r>
      <w:r w:rsidRPr="00FB63AB">
        <w:rPr>
          <w:rFonts w:eastAsia="Arial Unicode MS" w:cs="Arial"/>
          <w:sz w:val="20"/>
          <w:szCs w:val="20"/>
        </w:rPr>
        <w:t>The value of pooled property investments was previously included within total pooled investment vehicles.</w:t>
      </w:r>
    </w:p>
    <w:p w:rsidR="00D66945" w:rsidRPr="007828C4" w:rsidRDefault="00D66945" w:rsidP="00D66945">
      <w:pPr>
        <w:rPr>
          <w:rFonts w:eastAsia="Arial Unicode MS" w:cs="Arial"/>
          <w:sz w:val="32"/>
          <w:szCs w:val="18"/>
        </w:rPr>
      </w:pPr>
      <w:r w:rsidRPr="007828C4">
        <w:rPr>
          <w:rFonts w:eastAsia="Arial Unicode MS" w:cs="Arial"/>
          <w:b/>
          <w:sz w:val="32"/>
          <w:szCs w:val="18"/>
        </w:rPr>
        <w:t>Investments analysed by fund manage</w:t>
      </w:r>
      <w:r>
        <w:rPr>
          <w:rFonts w:eastAsia="Arial Unicode MS" w:cs="Arial"/>
          <w:b/>
          <w:sz w:val="32"/>
          <w:szCs w:val="18"/>
        </w:rPr>
        <w:t>r</w:t>
      </w:r>
    </w:p>
    <w:tbl>
      <w:tblPr>
        <w:tblpPr w:leftFromText="180" w:rightFromText="180" w:vertAnchor="page" w:tblpY="229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701"/>
        <w:gridCol w:w="2693"/>
        <w:gridCol w:w="1985"/>
        <w:gridCol w:w="1701"/>
      </w:tblGrid>
      <w:tr w:rsidR="00D66945" w:rsidRPr="007828C4" w:rsidTr="00A33453">
        <w:trPr>
          <w:trHeight w:val="271"/>
        </w:trPr>
        <w:tc>
          <w:tcPr>
            <w:tcW w:w="3539" w:type="dxa"/>
            <w:gridSpan w:val="2"/>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center"/>
              <w:rPr>
                <w:rFonts w:eastAsia="Arial Unicode MS" w:cs="Arial"/>
                <w:b/>
                <w:sz w:val="20"/>
                <w:szCs w:val="20"/>
              </w:rPr>
            </w:pPr>
            <w:r w:rsidRPr="007828C4">
              <w:rPr>
                <w:rFonts w:eastAsia="Arial Unicode MS" w:cs="Arial"/>
                <w:b/>
                <w:sz w:val="20"/>
                <w:szCs w:val="18"/>
              </w:rPr>
              <w:t>31 March 201</w:t>
            </w:r>
            <w:r>
              <w:rPr>
                <w:rFonts w:eastAsia="Arial Unicode MS" w:cs="Arial"/>
                <w:b/>
                <w:sz w:val="20"/>
                <w:szCs w:val="18"/>
              </w:rPr>
              <w:t>7</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jc w:val="center"/>
              <w:rPr>
                <w:rFonts w:eastAsia="Arial Unicode MS" w:cs="Arial"/>
                <w:sz w:val="20"/>
                <w:szCs w:val="20"/>
              </w:rPr>
            </w:pPr>
          </w:p>
        </w:tc>
        <w:tc>
          <w:tcPr>
            <w:tcW w:w="3686" w:type="dxa"/>
            <w:gridSpan w:val="2"/>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center"/>
              <w:rPr>
                <w:rFonts w:eastAsia="Arial Unicode MS" w:cs="Arial"/>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333"/>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18"/>
              </w:rPr>
              <w:t>£m</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18"/>
              </w:rPr>
              <w:t>%</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jc w:val="right"/>
              <w:rPr>
                <w:rFonts w:eastAsia="Arial Unicode MS" w:cs="Arial"/>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£m</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w:t>
            </w:r>
          </w:p>
        </w:tc>
      </w:tr>
      <w:tr w:rsidR="00D66945" w:rsidRPr="007828C4" w:rsidTr="00A33453">
        <w:trPr>
          <w:trHeight w:val="241"/>
        </w:trPr>
        <w:tc>
          <w:tcPr>
            <w:tcW w:w="9918" w:type="dxa"/>
            <w:gridSpan w:val="5"/>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Private equity</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4394" w:type="dxa"/>
            <w:gridSpan w:val="2"/>
            <w:tcBorders>
              <w:top w:val="single" w:sz="4" w:space="0" w:color="008080"/>
              <w:left w:val="single" w:sz="4" w:space="0" w:color="008080"/>
              <w:bottom w:val="single" w:sz="4" w:space="0" w:color="008080"/>
              <w:right w:val="single" w:sz="4" w:space="0" w:color="008080"/>
            </w:tcBorders>
            <w:shd w:val="clear" w:color="auto" w:fill="auto"/>
          </w:tcPr>
          <w:p w:rsidR="00D66945" w:rsidRPr="00FF6DC8" w:rsidRDefault="00D66945" w:rsidP="00A33453">
            <w:pPr>
              <w:tabs>
                <w:tab w:val="left" w:pos="1455"/>
                <w:tab w:val="left" w:pos="5040"/>
                <w:tab w:val="left" w:pos="6885"/>
              </w:tabs>
              <w:rPr>
                <w:rFonts w:eastAsia="Arial Unicode MS" w:cs="Arial"/>
                <w:b/>
                <w:sz w:val="20"/>
                <w:szCs w:val="20"/>
              </w:rPr>
            </w:pPr>
            <w:r>
              <w:rPr>
                <w:rFonts w:eastAsia="Arial Unicode MS" w:cs="Arial"/>
                <w:b/>
                <w:sz w:val="20"/>
                <w:szCs w:val="20"/>
              </w:rPr>
              <w:t xml:space="preserve">Investments managed by  </w:t>
            </w:r>
            <w:r w:rsidRPr="00985EC5">
              <w:rPr>
                <w:rFonts w:eastAsia="Arial Unicode MS" w:cs="Arial"/>
                <w:b/>
                <w:sz w:val="20"/>
                <w:szCs w:val="20"/>
              </w:rPr>
              <w:t>LPPI Private Equity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r>
      <w:tr w:rsidR="00D66945" w:rsidRPr="007828C4" w:rsidTr="000E4EE7">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0E4EE7" w:rsidP="00A33453">
            <w:pPr>
              <w:tabs>
                <w:tab w:val="left" w:pos="1455"/>
                <w:tab w:val="left" w:pos="5040"/>
                <w:tab w:val="left" w:pos="6885"/>
              </w:tabs>
              <w:rPr>
                <w:rFonts w:eastAsia="Arial Unicode MS" w:cs="Arial"/>
                <w:sz w:val="20"/>
                <w:szCs w:val="20"/>
              </w:rPr>
            </w:pPr>
            <w:r w:rsidRPr="000E4EE7">
              <w:rPr>
                <w:rFonts w:eastAsia="Arial Unicode MS" w:cs="Arial"/>
                <w:sz w:val="20"/>
                <w:szCs w:val="20"/>
                <w:highlight w:val="yellow"/>
              </w:rPr>
              <w:t>To be updated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0E4EE7" w:rsidP="00A33453">
            <w:pPr>
              <w:tabs>
                <w:tab w:val="left" w:pos="2160"/>
                <w:tab w:val="left" w:pos="6885"/>
              </w:tabs>
              <w:spacing w:after="60"/>
              <w:jc w:val="right"/>
              <w:rPr>
                <w:rFonts w:eastAsia="Arial Unicode MS" w:cs="Arial"/>
                <w:sz w:val="20"/>
                <w:szCs w:val="20"/>
              </w:rPr>
            </w:pPr>
            <w:r>
              <w:rPr>
                <w:rFonts w:eastAsia="Arial Unicode MS" w:cs="Arial"/>
                <w:sz w:val="20"/>
                <w:szCs w:val="20"/>
              </w:rPr>
              <w:t>531.0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0E4EE7" w:rsidP="00A33453">
            <w:pPr>
              <w:tabs>
                <w:tab w:val="left" w:pos="2160"/>
                <w:tab w:val="left" w:pos="6885"/>
              </w:tabs>
              <w:spacing w:after="60"/>
              <w:jc w:val="right"/>
              <w:rPr>
                <w:rFonts w:eastAsia="Arial Unicode MS" w:cs="Arial"/>
                <w:sz w:val="20"/>
                <w:szCs w:val="20"/>
              </w:rPr>
            </w:pPr>
            <w:r>
              <w:rPr>
                <w:rFonts w:eastAsia="Arial Unicode MS" w:cs="Arial"/>
                <w:sz w:val="20"/>
                <w:szCs w:val="20"/>
              </w:rPr>
              <w:t>7.0%</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985EC5" w:rsidRDefault="00D66945" w:rsidP="00A33453">
            <w:pPr>
              <w:tabs>
                <w:tab w:val="left" w:pos="2160"/>
                <w:tab w:val="left" w:pos="6885"/>
              </w:tabs>
              <w:spacing w:after="60"/>
              <w:jc w:val="right"/>
              <w:rPr>
                <w:rFonts w:eastAsia="Arial Unicode MS" w:cs="Arial"/>
                <w:b/>
                <w:sz w:val="20"/>
                <w:szCs w:val="20"/>
              </w:rPr>
            </w:pPr>
            <w:r w:rsidRPr="00985EC5">
              <w:rPr>
                <w:rFonts w:eastAsia="Arial Unicode MS" w:cs="Arial"/>
                <w:b/>
                <w:sz w:val="20"/>
                <w:szCs w:val="20"/>
              </w:rPr>
              <w:t>531.0</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985EC5" w:rsidRDefault="00D66945" w:rsidP="00A33453">
            <w:pPr>
              <w:tabs>
                <w:tab w:val="left" w:pos="2160"/>
                <w:tab w:val="left" w:pos="6885"/>
              </w:tabs>
              <w:spacing w:after="60"/>
              <w:jc w:val="right"/>
              <w:rPr>
                <w:rFonts w:eastAsia="Arial Unicode MS" w:cs="Arial"/>
                <w:b/>
                <w:sz w:val="20"/>
                <w:szCs w:val="20"/>
              </w:rPr>
            </w:pPr>
            <w:r w:rsidRPr="00985EC5">
              <w:rPr>
                <w:rFonts w:eastAsia="Arial Unicode MS" w:cs="Arial"/>
                <w:b/>
                <w:sz w:val="20"/>
                <w:szCs w:val="20"/>
              </w:rPr>
              <w:t>7.0%</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4394" w:type="dxa"/>
            <w:gridSpan w:val="2"/>
            <w:tcBorders>
              <w:top w:val="single" w:sz="4" w:space="0" w:color="008080"/>
              <w:left w:val="single" w:sz="4" w:space="0" w:color="008080"/>
              <w:bottom w:val="single" w:sz="4" w:space="0" w:color="008080"/>
              <w:right w:val="single" w:sz="4" w:space="0" w:color="008080"/>
            </w:tcBorders>
            <w:shd w:val="clear" w:color="auto" w:fill="auto"/>
          </w:tcPr>
          <w:p w:rsidR="00D66945" w:rsidRPr="00985EC5" w:rsidRDefault="00D66945" w:rsidP="00A33453">
            <w:pPr>
              <w:tabs>
                <w:tab w:val="left" w:pos="1455"/>
                <w:tab w:val="left" w:pos="5040"/>
                <w:tab w:val="left" w:pos="6885"/>
              </w:tabs>
              <w:rPr>
                <w:rFonts w:eastAsia="Arial Unicode MS" w:cs="Arial"/>
                <w:b/>
                <w:sz w:val="20"/>
                <w:szCs w:val="20"/>
              </w:rPr>
            </w:pPr>
            <w:r>
              <w:rPr>
                <w:rFonts w:eastAsia="Arial Unicode MS" w:cs="Arial"/>
                <w:b/>
                <w:sz w:val="20"/>
                <w:szCs w:val="20"/>
              </w:rPr>
              <w:t>Investments managed outside of LPPI Private Equity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452.7</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6.3%</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Capital Dynamics</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16.7</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0.2%</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28.2</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0.4%</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Standard Life</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480.9</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6.7%</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16.7</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0.2%</w:t>
            </w:r>
          </w:p>
        </w:tc>
      </w:tr>
      <w:tr w:rsidR="00D66945" w:rsidRPr="007828C4" w:rsidTr="00A33453">
        <w:trPr>
          <w:trHeight w:val="300"/>
        </w:trPr>
        <w:tc>
          <w:tcPr>
            <w:tcW w:w="9918" w:type="dxa"/>
            <w:gridSpan w:val="5"/>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Long term credit investments</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4394" w:type="dxa"/>
            <w:gridSpan w:val="2"/>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1455"/>
                <w:tab w:val="left" w:pos="5040"/>
                <w:tab w:val="left" w:pos="6885"/>
              </w:tabs>
              <w:rPr>
                <w:rFonts w:eastAsia="Arial Unicode MS" w:cs="Arial"/>
                <w:sz w:val="20"/>
                <w:szCs w:val="20"/>
              </w:rPr>
            </w:pPr>
            <w:r>
              <w:rPr>
                <w:rFonts w:eastAsia="Arial Unicode MS" w:cs="Arial"/>
                <w:b/>
                <w:sz w:val="20"/>
                <w:szCs w:val="20"/>
              </w:rPr>
              <w:t xml:space="preserve">Investments managed by  </w:t>
            </w:r>
            <w:r w:rsidRPr="00985EC5">
              <w:rPr>
                <w:rFonts w:eastAsia="Arial Unicode MS" w:cs="Arial"/>
                <w:b/>
                <w:sz w:val="20"/>
                <w:szCs w:val="20"/>
              </w:rPr>
              <w:t xml:space="preserve">LPPI </w:t>
            </w:r>
            <w:r>
              <w:rPr>
                <w:rFonts w:eastAsia="Arial Unicode MS" w:cs="Arial"/>
                <w:b/>
                <w:sz w:val="20"/>
                <w:szCs w:val="20"/>
              </w:rPr>
              <w:t>Credit Investments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r>
      <w:tr w:rsidR="00D66945" w:rsidRPr="007828C4" w:rsidTr="000E4EE7">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0E4EE7" w:rsidP="00A33453">
            <w:pPr>
              <w:tabs>
                <w:tab w:val="left" w:pos="1455"/>
                <w:tab w:val="left" w:pos="5040"/>
                <w:tab w:val="left" w:pos="6885"/>
              </w:tabs>
              <w:rPr>
                <w:rFonts w:eastAsia="Arial Unicode MS" w:cs="Arial"/>
                <w:sz w:val="20"/>
                <w:szCs w:val="20"/>
              </w:rPr>
            </w:pPr>
            <w:r w:rsidRPr="000E4EE7">
              <w:rPr>
                <w:rFonts w:eastAsia="Arial Unicode MS" w:cs="Arial"/>
                <w:sz w:val="20"/>
                <w:szCs w:val="20"/>
                <w:highlight w:val="yellow"/>
              </w:rPr>
              <w:t>To be updated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0E4EE7" w:rsidP="00A33453">
            <w:pPr>
              <w:tabs>
                <w:tab w:val="left" w:pos="2160"/>
                <w:tab w:val="left" w:pos="6885"/>
              </w:tabs>
              <w:spacing w:after="60"/>
              <w:jc w:val="right"/>
              <w:rPr>
                <w:rFonts w:eastAsia="Arial Unicode MS" w:cs="Arial"/>
                <w:sz w:val="20"/>
                <w:szCs w:val="20"/>
              </w:rPr>
            </w:pPr>
            <w:r>
              <w:rPr>
                <w:rFonts w:eastAsia="Arial Unicode MS" w:cs="Arial"/>
                <w:sz w:val="20"/>
                <w:szCs w:val="20"/>
              </w:rPr>
              <w:t>1071.1</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0E4EE7" w:rsidP="00A33453">
            <w:pPr>
              <w:tabs>
                <w:tab w:val="left" w:pos="2160"/>
                <w:tab w:val="left" w:pos="6885"/>
              </w:tabs>
              <w:spacing w:after="60"/>
              <w:jc w:val="right"/>
              <w:rPr>
                <w:rFonts w:eastAsia="Arial Unicode MS" w:cs="Arial"/>
                <w:sz w:val="20"/>
                <w:szCs w:val="20"/>
              </w:rPr>
            </w:pPr>
            <w:r>
              <w:rPr>
                <w:rFonts w:eastAsia="Arial Unicode MS" w:cs="Arial"/>
                <w:sz w:val="20"/>
                <w:szCs w:val="20"/>
              </w:rPr>
              <w:t>14.1%</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985EC5"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1,071.1</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985EC5"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14.1%</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4394" w:type="dxa"/>
            <w:gridSpan w:val="2"/>
            <w:tcBorders>
              <w:top w:val="single" w:sz="4" w:space="0" w:color="008080"/>
              <w:left w:val="single" w:sz="4" w:space="0" w:color="008080"/>
              <w:bottom w:val="single" w:sz="4" w:space="0" w:color="008080"/>
              <w:right w:val="single" w:sz="4" w:space="0" w:color="008080"/>
            </w:tcBorders>
            <w:shd w:val="clear" w:color="auto" w:fill="auto"/>
          </w:tcPr>
          <w:p w:rsidR="00D66945" w:rsidRPr="00985EC5" w:rsidRDefault="00D66945" w:rsidP="00957C31">
            <w:pPr>
              <w:tabs>
                <w:tab w:val="left" w:pos="1455"/>
                <w:tab w:val="left" w:pos="5040"/>
                <w:tab w:val="left" w:pos="6885"/>
              </w:tabs>
              <w:rPr>
                <w:rFonts w:eastAsia="Arial Unicode MS" w:cs="Arial"/>
                <w:b/>
                <w:sz w:val="20"/>
                <w:szCs w:val="20"/>
              </w:rPr>
            </w:pPr>
            <w:r>
              <w:rPr>
                <w:rFonts w:eastAsia="Arial Unicode MS" w:cs="Arial"/>
                <w:b/>
                <w:sz w:val="20"/>
                <w:szCs w:val="20"/>
              </w:rPr>
              <w:t>Investments managed outside of LPPI Credit Investments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138.6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1.9%</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Heylo Housing</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198.3</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2.6%</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152.5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2.1%</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CRC</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138.0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1.8%</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61.9</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0.9%</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Neuberger Berman</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56.6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0.7%</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64.8</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0.9%</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Pimco Bravo</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48.3</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0.6%</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51.2</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0.7%</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EQT</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31.2</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0.4%</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52.4</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0.7%</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Hayfin</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18.8</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0.3%</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256.8</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3.6%</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Prima</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159.6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2.2%</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Pictet</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132.5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1.8%</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Bluebay</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128.4</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1.8%</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MFO King Street</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101.7</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1.4%</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Investec</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83.7</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1.2%</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Venn Commercial Real Estate</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76.6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1.1%</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Permira Credit Solutions</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71.5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1.0%</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HSBC</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68.8</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1.0%</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White Oak</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67.0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0.9%</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Monarch</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33.8</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0.5%</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 xml:space="preserve">Kreos </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17.6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0.2%</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Muzinich Private Debt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10.9</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0.2%</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Westmill</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b/>
                <w:sz w:val="20"/>
                <w:szCs w:val="20"/>
              </w:rPr>
              <w:t>1,730.2</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b/>
                <w:sz w:val="20"/>
                <w:szCs w:val="20"/>
              </w:rPr>
              <w:t>24.1%</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491.2</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center" w:pos="566"/>
                <w:tab w:val="right" w:pos="1133"/>
                <w:tab w:val="left" w:pos="2160"/>
                <w:tab w:val="left" w:pos="6885"/>
              </w:tabs>
              <w:spacing w:after="60"/>
              <w:jc w:val="right"/>
              <w:rPr>
                <w:rFonts w:eastAsia="Arial Unicode MS" w:cs="Arial"/>
                <w:b/>
                <w:sz w:val="20"/>
                <w:szCs w:val="20"/>
              </w:rPr>
            </w:pPr>
            <w:r>
              <w:rPr>
                <w:rFonts w:eastAsia="Arial Unicode MS" w:cs="Arial"/>
                <w:b/>
                <w:sz w:val="20"/>
                <w:szCs w:val="20"/>
              </w:rPr>
              <w:t>6.4%</w:t>
            </w:r>
          </w:p>
        </w:tc>
      </w:tr>
      <w:tr w:rsidR="00D66945" w:rsidRPr="007828C4" w:rsidTr="00A33453">
        <w:trPr>
          <w:trHeight w:val="431"/>
        </w:trPr>
        <w:tc>
          <w:tcPr>
            <w:tcW w:w="9918" w:type="dxa"/>
            <w:gridSpan w:val="5"/>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Default="00D66945" w:rsidP="00A33453">
            <w:pPr>
              <w:tabs>
                <w:tab w:val="left" w:pos="2160"/>
                <w:tab w:val="left" w:pos="6885"/>
              </w:tabs>
              <w:spacing w:after="60"/>
              <w:rPr>
                <w:rFonts w:eastAsia="Arial Unicode MS" w:cs="Arial"/>
                <w:b/>
                <w:sz w:val="20"/>
                <w:szCs w:val="20"/>
              </w:rPr>
            </w:pPr>
          </w:p>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Liquid credit (cash and bonds)</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4394" w:type="dxa"/>
            <w:gridSpan w:val="2"/>
            <w:tcBorders>
              <w:top w:val="single" w:sz="4" w:space="0" w:color="008080"/>
              <w:left w:val="single" w:sz="4" w:space="0" w:color="008080"/>
              <w:bottom w:val="single" w:sz="4" w:space="0" w:color="008080"/>
              <w:right w:val="single" w:sz="4" w:space="0" w:color="008080"/>
            </w:tcBorders>
            <w:shd w:val="clear" w:color="auto" w:fill="auto"/>
          </w:tcPr>
          <w:p w:rsidR="00D66945" w:rsidRPr="00985EC5" w:rsidRDefault="00D66945" w:rsidP="00A33453">
            <w:pPr>
              <w:tabs>
                <w:tab w:val="left" w:pos="1455"/>
                <w:tab w:val="left" w:pos="5040"/>
                <w:tab w:val="left" w:pos="6885"/>
              </w:tabs>
              <w:rPr>
                <w:rFonts w:eastAsia="Arial Unicode MS" w:cs="Arial"/>
                <w:b/>
                <w:sz w:val="20"/>
                <w:szCs w:val="20"/>
              </w:rPr>
            </w:pPr>
            <w:r>
              <w:rPr>
                <w:rFonts w:eastAsia="Arial Unicode MS" w:cs="Arial"/>
                <w:b/>
                <w:sz w:val="20"/>
                <w:szCs w:val="20"/>
              </w:rPr>
              <w:t>Investments managed by LPPI Fixed Income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A167D7"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PIMCO</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A167D7"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92.0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1.2%</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Wellington</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A167D7"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91.8</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1.2%</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Default="00D66945" w:rsidP="00A33453">
            <w:pPr>
              <w:tabs>
                <w:tab w:val="left" w:pos="1455"/>
                <w:tab w:val="left" w:pos="5040"/>
                <w:tab w:val="left" w:pos="6885"/>
              </w:tabs>
              <w:rPr>
                <w:rFonts w:eastAsia="Arial Unicode MS" w:cs="Arial"/>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985EC5" w:rsidRDefault="00D66945" w:rsidP="00A33453">
            <w:pPr>
              <w:tabs>
                <w:tab w:val="left" w:pos="2160"/>
                <w:tab w:val="left" w:pos="6885"/>
              </w:tabs>
              <w:spacing w:after="60"/>
              <w:jc w:val="right"/>
              <w:rPr>
                <w:rFonts w:eastAsia="Arial Unicode MS" w:cs="Arial"/>
                <w:b/>
                <w:sz w:val="20"/>
                <w:szCs w:val="20"/>
              </w:rPr>
            </w:pPr>
            <w:r w:rsidRPr="00985EC5">
              <w:rPr>
                <w:rFonts w:eastAsia="Arial Unicode MS" w:cs="Arial"/>
                <w:b/>
                <w:sz w:val="20"/>
                <w:szCs w:val="20"/>
              </w:rPr>
              <w:t>183.8</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985EC5" w:rsidRDefault="00D66945" w:rsidP="00A33453">
            <w:pPr>
              <w:tabs>
                <w:tab w:val="left" w:pos="2160"/>
                <w:tab w:val="left" w:pos="6885"/>
              </w:tabs>
              <w:spacing w:after="60"/>
              <w:jc w:val="right"/>
              <w:rPr>
                <w:rFonts w:eastAsia="Arial Unicode MS" w:cs="Arial"/>
                <w:b/>
                <w:sz w:val="20"/>
                <w:szCs w:val="20"/>
              </w:rPr>
            </w:pPr>
            <w:r w:rsidRPr="00985EC5">
              <w:rPr>
                <w:rFonts w:eastAsia="Arial Unicode MS" w:cs="Arial"/>
                <w:b/>
                <w:sz w:val="20"/>
                <w:szCs w:val="20"/>
              </w:rPr>
              <w:t>2.4%</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4394" w:type="dxa"/>
            <w:gridSpan w:val="2"/>
            <w:tcBorders>
              <w:top w:val="single" w:sz="4" w:space="0" w:color="008080"/>
              <w:left w:val="single" w:sz="4" w:space="0" w:color="008080"/>
              <w:bottom w:val="single" w:sz="4" w:space="0" w:color="008080"/>
              <w:right w:val="single" w:sz="4" w:space="0" w:color="008080"/>
            </w:tcBorders>
            <w:shd w:val="clear" w:color="auto" w:fill="auto"/>
          </w:tcPr>
          <w:p w:rsidR="00D66945" w:rsidRPr="00985EC5" w:rsidRDefault="00D66945" w:rsidP="00A33453">
            <w:pPr>
              <w:tabs>
                <w:tab w:val="left" w:pos="1455"/>
                <w:tab w:val="left" w:pos="5040"/>
                <w:tab w:val="left" w:pos="6885"/>
              </w:tabs>
              <w:rPr>
                <w:rFonts w:eastAsia="Arial Unicode MS" w:cs="Arial"/>
                <w:b/>
                <w:sz w:val="20"/>
                <w:szCs w:val="20"/>
              </w:rPr>
            </w:pPr>
            <w:r>
              <w:rPr>
                <w:rFonts w:eastAsia="Arial Unicode MS" w:cs="Arial"/>
                <w:b/>
                <w:sz w:val="20"/>
                <w:szCs w:val="20"/>
              </w:rPr>
              <w:t>Investments managed outside of LPPI Fixed Income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135.2</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1.9%</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highlight w:val="yellow"/>
              </w:rPr>
            </w:pPr>
            <w:r>
              <w:rPr>
                <w:rFonts w:eastAsia="Arial Unicode MS" w:cs="Arial"/>
                <w:sz w:val="20"/>
                <w:szCs w:val="20"/>
              </w:rPr>
              <w:t>LPPI</w:t>
            </w:r>
            <w:r w:rsidRPr="007828C4">
              <w:rPr>
                <w:rFonts w:eastAsia="Arial Unicode MS" w:cs="Arial"/>
                <w:sz w:val="20"/>
                <w:szCs w:val="20"/>
              </w:rPr>
              <w:t xml:space="preserve"> </w:t>
            </w:r>
            <w:r>
              <w:rPr>
                <w:rFonts w:eastAsia="Arial Unicode MS" w:cs="Arial"/>
                <w:sz w:val="20"/>
                <w:szCs w:val="20"/>
              </w:rPr>
              <w:t xml:space="preserve">internal </w:t>
            </w:r>
            <w:r w:rsidRPr="007828C4">
              <w:rPr>
                <w:rFonts w:eastAsia="Arial Unicode MS" w:cs="Arial"/>
                <w:sz w:val="20"/>
                <w:szCs w:val="20"/>
              </w:rPr>
              <w:t>and LCC Treasury Management</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282.0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3.7%</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135.2</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1.9%</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282.0</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3.7%</w:t>
            </w:r>
          </w:p>
        </w:tc>
      </w:tr>
      <w:tr w:rsidR="00D66945" w:rsidRPr="007828C4" w:rsidTr="00A33453">
        <w:trPr>
          <w:trHeight w:val="278"/>
        </w:trPr>
        <w:tc>
          <w:tcPr>
            <w:tcW w:w="9918" w:type="dxa"/>
            <w:gridSpan w:val="5"/>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Global equity funds</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4394" w:type="dxa"/>
            <w:gridSpan w:val="2"/>
            <w:tcBorders>
              <w:top w:val="single" w:sz="4" w:space="0" w:color="008080"/>
              <w:left w:val="single" w:sz="4" w:space="0" w:color="008080"/>
              <w:bottom w:val="single" w:sz="4" w:space="0" w:color="008080"/>
              <w:right w:val="single" w:sz="4" w:space="0" w:color="008080"/>
            </w:tcBorders>
            <w:shd w:val="clear" w:color="auto" w:fill="auto"/>
          </w:tcPr>
          <w:p w:rsidR="00D66945" w:rsidRPr="00C3127F" w:rsidRDefault="00D66945" w:rsidP="00A33453">
            <w:pPr>
              <w:tabs>
                <w:tab w:val="left" w:pos="1455"/>
                <w:tab w:val="left" w:pos="5040"/>
                <w:tab w:val="left" w:pos="6885"/>
              </w:tabs>
              <w:rPr>
                <w:rFonts w:eastAsia="Arial Unicode MS" w:cs="Arial"/>
                <w:b/>
                <w:sz w:val="20"/>
                <w:szCs w:val="20"/>
              </w:rPr>
            </w:pPr>
            <w:r>
              <w:rPr>
                <w:rFonts w:eastAsia="Arial Unicode MS" w:cs="Arial"/>
                <w:b/>
                <w:sz w:val="20"/>
                <w:szCs w:val="20"/>
              </w:rPr>
              <w:t>Investments managed by LPPI Global Equities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1,292.5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18.0%</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LPPI internal managers</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1,306.2</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17.2%</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474.1</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6.6%</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Magellan</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482.5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6.3%</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622.5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8.7%</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Robeco</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469.0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6.2%</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First Eagle</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466.7</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6.1%</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Wellington</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315.1</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4.1%</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Baron</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174.9</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2.3%</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3E59CA" w:rsidRDefault="00D66945" w:rsidP="00A33453">
            <w:pPr>
              <w:tabs>
                <w:tab w:val="left" w:pos="2160"/>
                <w:tab w:val="left" w:pos="6885"/>
              </w:tabs>
              <w:spacing w:after="60"/>
              <w:jc w:val="right"/>
              <w:rPr>
                <w:rFonts w:eastAsia="Arial Unicode MS" w:cs="Arial"/>
                <w:sz w:val="20"/>
                <w:szCs w:val="20"/>
              </w:rPr>
            </w:pPr>
            <w:r w:rsidRPr="003E59CA">
              <w:rPr>
                <w:rFonts w:eastAsia="Arial Unicode MS" w:cs="Arial"/>
                <w:sz w:val="20"/>
                <w:szCs w:val="20"/>
              </w:rPr>
              <w:t>779.1</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3E59CA" w:rsidRDefault="00D66945" w:rsidP="00A33453">
            <w:pPr>
              <w:tabs>
                <w:tab w:val="left" w:pos="2160"/>
                <w:tab w:val="left" w:pos="6885"/>
              </w:tabs>
              <w:spacing w:after="60"/>
              <w:jc w:val="right"/>
              <w:rPr>
                <w:rFonts w:eastAsia="Arial Unicode MS" w:cs="Arial"/>
                <w:sz w:val="20"/>
                <w:szCs w:val="20"/>
              </w:rPr>
            </w:pPr>
            <w:r w:rsidRPr="003E59CA">
              <w:rPr>
                <w:rFonts w:eastAsia="Arial Unicode MS" w:cs="Arial"/>
                <w:sz w:val="20"/>
                <w:szCs w:val="20"/>
              </w:rPr>
              <w:t>10.8%</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Pr>
                <w:rFonts w:eastAsia="Arial Unicode MS" w:cs="Arial"/>
                <w:sz w:val="20"/>
                <w:szCs w:val="20"/>
              </w:rPr>
              <w:t>MFS</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b/>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b/>
                <w:sz w:val="20"/>
                <w:szCs w:val="20"/>
              </w:rPr>
            </w:pP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b/>
                <w:sz w:val="20"/>
                <w:szCs w:val="20"/>
              </w:rPr>
              <w:t>3,168.2</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b/>
                <w:sz w:val="20"/>
                <w:szCs w:val="20"/>
              </w:rPr>
              <w:t>44.1%</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3,214.4</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42.2%</w:t>
            </w:r>
          </w:p>
        </w:tc>
      </w:tr>
      <w:tr w:rsidR="00D66945" w:rsidRPr="007828C4" w:rsidTr="00A33453">
        <w:trPr>
          <w:trHeight w:val="366"/>
        </w:trPr>
        <w:tc>
          <w:tcPr>
            <w:tcW w:w="9918" w:type="dxa"/>
            <w:gridSpan w:val="5"/>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Infrastructure</w:t>
            </w:r>
          </w:p>
        </w:tc>
      </w:tr>
      <w:tr w:rsidR="00D66945" w:rsidRPr="007828C4" w:rsidTr="00A33453">
        <w:trPr>
          <w:trHeight w:val="346"/>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4394" w:type="dxa"/>
            <w:gridSpan w:val="2"/>
            <w:tcBorders>
              <w:top w:val="single" w:sz="4" w:space="0" w:color="008080"/>
              <w:left w:val="single" w:sz="4" w:space="0" w:color="008080"/>
              <w:bottom w:val="single" w:sz="4" w:space="0" w:color="008080"/>
              <w:right w:val="single" w:sz="4" w:space="0" w:color="008080"/>
            </w:tcBorders>
            <w:shd w:val="clear" w:color="auto" w:fill="auto"/>
          </w:tcPr>
          <w:p w:rsidR="00D66945" w:rsidRPr="00C3127F" w:rsidRDefault="00D66945" w:rsidP="00A33453">
            <w:pPr>
              <w:tabs>
                <w:tab w:val="left" w:pos="1455"/>
                <w:tab w:val="left" w:pos="5040"/>
                <w:tab w:val="left" w:pos="6885"/>
              </w:tabs>
              <w:rPr>
                <w:rFonts w:eastAsia="Arial Unicode MS" w:cs="Arial"/>
                <w:b/>
                <w:sz w:val="20"/>
                <w:szCs w:val="20"/>
              </w:rPr>
            </w:pPr>
            <w:r>
              <w:rPr>
                <w:rFonts w:eastAsia="Arial Unicode MS" w:cs="Arial"/>
                <w:b/>
                <w:sz w:val="20"/>
                <w:szCs w:val="20"/>
              </w:rPr>
              <w:t>Investments managed by LPPI Infrastructure Investments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p>
        </w:tc>
      </w:tr>
      <w:tr w:rsidR="00D66945" w:rsidRPr="007828C4" w:rsidTr="0056402A">
        <w:trPr>
          <w:trHeight w:val="346"/>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56402A" w:rsidP="00A33453">
            <w:pPr>
              <w:tabs>
                <w:tab w:val="left" w:pos="1455"/>
                <w:tab w:val="left" w:pos="5040"/>
                <w:tab w:val="left" w:pos="6885"/>
              </w:tabs>
              <w:rPr>
                <w:rFonts w:eastAsia="Arial Unicode MS" w:cs="Arial"/>
                <w:sz w:val="20"/>
                <w:szCs w:val="20"/>
              </w:rPr>
            </w:pPr>
            <w:r w:rsidRPr="000E4EE7">
              <w:rPr>
                <w:rFonts w:eastAsia="Arial Unicode MS" w:cs="Arial"/>
                <w:sz w:val="20"/>
                <w:szCs w:val="20"/>
                <w:highlight w:val="yellow"/>
              </w:rPr>
              <w:t>To be updated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56402A" w:rsidP="00A33453">
            <w:pPr>
              <w:tabs>
                <w:tab w:val="left" w:pos="2160"/>
                <w:tab w:val="left" w:pos="6885"/>
              </w:tabs>
              <w:spacing w:after="60"/>
              <w:jc w:val="right"/>
              <w:rPr>
                <w:rFonts w:eastAsia="Arial Unicode MS" w:cs="Arial"/>
                <w:sz w:val="20"/>
                <w:szCs w:val="20"/>
              </w:rPr>
            </w:pPr>
            <w:r>
              <w:rPr>
                <w:rFonts w:eastAsia="Arial Unicode MS" w:cs="Arial"/>
                <w:sz w:val="20"/>
                <w:szCs w:val="20"/>
              </w:rPr>
              <w:t>727.4</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56402A" w:rsidP="00A33453">
            <w:pPr>
              <w:tabs>
                <w:tab w:val="left" w:pos="2160"/>
                <w:tab w:val="left" w:pos="6885"/>
              </w:tabs>
              <w:spacing w:after="60"/>
              <w:jc w:val="right"/>
              <w:rPr>
                <w:rFonts w:eastAsia="Arial Unicode MS" w:cs="Arial"/>
                <w:sz w:val="20"/>
                <w:szCs w:val="20"/>
              </w:rPr>
            </w:pPr>
            <w:r>
              <w:rPr>
                <w:rFonts w:eastAsia="Arial Unicode MS" w:cs="Arial"/>
                <w:sz w:val="20"/>
                <w:szCs w:val="20"/>
              </w:rPr>
              <w:t>9.6%</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C3127F" w:rsidRDefault="00D66945" w:rsidP="00A33453">
            <w:pPr>
              <w:tabs>
                <w:tab w:val="left" w:pos="2160"/>
                <w:tab w:val="left" w:pos="6885"/>
              </w:tabs>
              <w:spacing w:after="60"/>
              <w:jc w:val="right"/>
              <w:rPr>
                <w:rFonts w:eastAsia="Arial Unicode MS" w:cs="Arial"/>
                <w:b/>
                <w:sz w:val="20"/>
                <w:szCs w:val="20"/>
              </w:rPr>
            </w:pPr>
            <w:r w:rsidRPr="00C3127F">
              <w:rPr>
                <w:rFonts w:eastAsia="Arial Unicode MS" w:cs="Arial"/>
                <w:b/>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C3127F" w:rsidRDefault="00D66945" w:rsidP="00A33453">
            <w:pPr>
              <w:tabs>
                <w:tab w:val="left" w:pos="2160"/>
                <w:tab w:val="left" w:pos="6885"/>
              </w:tabs>
              <w:spacing w:after="60"/>
              <w:jc w:val="right"/>
              <w:rPr>
                <w:rFonts w:eastAsia="Arial Unicode MS" w:cs="Arial"/>
                <w:b/>
                <w:sz w:val="20"/>
                <w:szCs w:val="20"/>
              </w:rPr>
            </w:pPr>
            <w:r w:rsidRPr="00C3127F">
              <w:rPr>
                <w:rFonts w:eastAsia="Arial Unicode MS" w:cs="Arial"/>
                <w:b/>
                <w:sz w:val="20"/>
                <w:szCs w:val="20"/>
              </w:rPr>
              <w:t>-</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C3127F" w:rsidRDefault="00D66945" w:rsidP="00A33453">
            <w:pPr>
              <w:tabs>
                <w:tab w:val="left" w:pos="2160"/>
                <w:tab w:val="left" w:pos="6885"/>
              </w:tabs>
              <w:spacing w:after="60"/>
              <w:jc w:val="right"/>
              <w:rPr>
                <w:rFonts w:eastAsia="Arial Unicode MS" w:cs="Arial"/>
                <w:b/>
                <w:sz w:val="20"/>
                <w:szCs w:val="20"/>
              </w:rPr>
            </w:pPr>
            <w:r w:rsidRPr="0056402A">
              <w:rPr>
                <w:rFonts w:eastAsia="Arial Unicode MS" w:cs="Arial"/>
                <w:b/>
                <w:sz w:val="20"/>
                <w:szCs w:val="20"/>
              </w:rPr>
              <w:t>727.4</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9.6%</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95.7</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1.3%</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Arclight Energy</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104.6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1.4%</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69.8</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1.0%</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Icon Infrastructure</w:t>
            </w:r>
            <w:r>
              <w:rPr>
                <w:rFonts w:eastAsia="Arial Unicode MS" w:cs="Arial"/>
                <w:sz w:val="20"/>
                <w:szCs w:val="20"/>
              </w:rPr>
              <w:t xml:space="preserve"> Partners</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77.1</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1.0%</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61.5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0.9%</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Highstar Capital</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49.4</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0.7%</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60.5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0.8%</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Capital Dynamics Red Rose</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32.7</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0.4%</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146.6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2.0%</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Madrilena Red de Gas (MRG)</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130.1</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1.8%</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Guild Investments Ltd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101.3</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1.4%</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ISQ Global Infrastructure</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85.7</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1.2%</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Capital Dynamics Cape Byron</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60.3</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0.8%</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Global Infrastructure Partners</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42.6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0.6%</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GLIL Infrastructure</w:t>
            </w:r>
            <w:r>
              <w:rPr>
                <w:rFonts w:eastAsia="Arial Unicode MS" w:cs="Arial"/>
                <w:sz w:val="20"/>
                <w:szCs w:val="20"/>
              </w:rPr>
              <w:t xml:space="preserve"> LP</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31.1</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0.4%</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Capital Dynamics Clean Energy</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28.9</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0.4%</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Stonepeak Infrastructure</w:t>
            </w:r>
            <w:r>
              <w:rPr>
                <w:rFonts w:eastAsia="Arial Unicode MS" w:cs="Arial"/>
                <w:sz w:val="20"/>
                <w:szCs w:val="20"/>
              </w:rPr>
              <w:t xml:space="preserve"> Partners</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26.6</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0.4%</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EQT Infrastructure</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w:t>
            </w:r>
          </w:p>
        </w:tc>
      </w:tr>
      <w:tr w:rsidR="00D66945" w:rsidRPr="007828C4" w:rsidTr="00A33453">
        <w:trPr>
          <w:trHeight w:val="36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940.6</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13.1%</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263.8</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3.5%</w:t>
            </w:r>
          </w:p>
        </w:tc>
      </w:tr>
      <w:tr w:rsidR="00D66945" w:rsidRPr="007828C4" w:rsidTr="00A33453">
        <w:trPr>
          <w:trHeight w:val="280"/>
        </w:trPr>
        <w:tc>
          <w:tcPr>
            <w:tcW w:w="9918" w:type="dxa"/>
            <w:gridSpan w:val="5"/>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rPr>
                <w:rFonts w:eastAsia="Arial Unicode MS" w:cs="Arial"/>
                <w:b/>
                <w:sz w:val="20"/>
                <w:szCs w:val="20"/>
              </w:rPr>
            </w:pPr>
            <w:r w:rsidRPr="007828C4">
              <w:rPr>
                <w:rFonts w:eastAsia="Arial Unicode MS" w:cs="Arial"/>
                <w:b/>
                <w:sz w:val="20"/>
                <w:szCs w:val="20"/>
              </w:rPr>
              <w:t>Property</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637.0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8.9%</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Knight Frank</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A167D7">
              <w:rPr>
                <w:rFonts w:eastAsia="Arial Unicode MS" w:cs="Arial"/>
                <w:sz w:val="20"/>
                <w:szCs w:val="20"/>
              </w:rPr>
              <w:t>715.5</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9.4%</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41.0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0.6%</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M&amp;G Europe fund</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A167D7" w:rsidRDefault="00D66945" w:rsidP="00A33453">
            <w:pPr>
              <w:tabs>
                <w:tab w:val="left" w:pos="2160"/>
                <w:tab w:val="left" w:pos="6885"/>
              </w:tabs>
              <w:spacing w:after="60"/>
              <w:jc w:val="right"/>
              <w:rPr>
                <w:rFonts w:eastAsia="Arial Unicode MS" w:cs="Arial"/>
                <w:sz w:val="20"/>
                <w:szCs w:val="20"/>
              </w:rPr>
            </w:pPr>
            <w:r w:rsidRPr="00A167D7">
              <w:rPr>
                <w:rFonts w:eastAsia="Arial Unicode MS" w:cs="Arial"/>
                <w:sz w:val="20"/>
                <w:szCs w:val="20"/>
              </w:rPr>
              <w:t>46.0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0.6%</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33.4</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0.5%</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Gatefold Hayes</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A167D7" w:rsidRDefault="00D66945" w:rsidP="00A33453">
            <w:pPr>
              <w:tabs>
                <w:tab w:val="left" w:pos="2160"/>
                <w:tab w:val="left" w:pos="6885"/>
              </w:tabs>
              <w:spacing w:after="60"/>
              <w:jc w:val="right"/>
              <w:rPr>
                <w:rFonts w:eastAsia="Arial Unicode MS" w:cs="Arial"/>
                <w:sz w:val="20"/>
                <w:szCs w:val="20"/>
              </w:rPr>
            </w:pPr>
            <w:r w:rsidRPr="00A167D7">
              <w:rPr>
                <w:rFonts w:eastAsia="Arial Unicode MS" w:cs="Arial"/>
                <w:sz w:val="20"/>
                <w:szCs w:val="20"/>
              </w:rPr>
              <w:t>39.0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0.5%</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25.0</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20"/>
              </w:rPr>
              <w:t>0.4%</w:t>
            </w:r>
          </w:p>
        </w:tc>
        <w:tc>
          <w:tcPr>
            <w:tcW w:w="2693"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 xml:space="preserve">Kames Target </w:t>
            </w:r>
          </w:p>
        </w:tc>
        <w:tc>
          <w:tcPr>
            <w:tcW w:w="1985" w:type="dxa"/>
            <w:tcBorders>
              <w:top w:val="single" w:sz="4" w:space="0" w:color="008080"/>
              <w:left w:val="single" w:sz="4" w:space="0" w:color="008080"/>
              <w:bottom w:val="single" w:sz="4" w:space="0" w:color="008080"/>
              <w:right w:val="single" w:sz="4" w:space="0" w:color="008080"/>
            </w:tcBorders>
            <w:shd w:val="clear" w:color="auto" w:fill="auto"/>
          </w:tcPr>
          <w:p w:rsidR="00D66945" w:rsidRPr="00A167D7" w:rsidRDefault="00D66945" w:rsidP="00A33453">
            <w:pPr>
              <w:tabs>
                <w:tab w:val="left" w:pos="2160"/>
                <w:tab w:val="left" w:pos="6885"/>
              </w:tabs>
              <w:spacing w:after="60"/>
              <w:jc w:val="right"/>
              <w:rPr>
                <w:rFonts w:eastAsia="Arial Unicode MS" w:cs="Arial"/>
                <w:sz w:val="20"/>
                <w:szCs w:val="20"/>
              </w:rPr>
            </w:pPr>
            <w:r w:rsidRPr="00A167D7">
              <w:rPr>
                <w:rFonts w:eastAsia="Arial Unicode MS" w:cs="Arial"/>
                <w:sz w:val="20"/>
                <w:szCs w:val="20"/>
              </w:rPr>
              <w:t>28.3</w:t>
            </w:r>
          </w:p>
        </w:tc>
        <w:tc>
          <w:tcPr>
            <w:tcW w:w="1701" w:type="dxa"/>
            <w:tcBorders>
              <w:top w:val="single" w:sz="4" w:space="0" w:color="008080"/>
              <w:left w:val="single" w:sz="4" w:space="0" w:color="008080"/>
              <w:bottom w:val="single" w:sz="4" w:space="0" w:color="008080"/>
              <w:right w:val="single" w:sz="4" w:space="0" w:color="008080"/>
            </w:tcBorders>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Pr>
                <w:rFonts w:eastAsia="Arial Unicode MS" w:cs="Arial"/>
                <w:sz w:val="20"/>
                <w:szCs w:val="20"/>
              </w:rPr>
              <w:t>0.4%</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736.4</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10.2%</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828.8</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10.9%</w:t>
            </w:r>
          </w:p>
        </w:tc>
      </w:tr>
      <w:tr w:rsidR="00D66945" w:rsidRPr="007828C4" w:rsidTr="00A33453">
        <w:trPr>
          <w:trHeight w:val="431"/>
        </w:trPr>
        <w:tc>
          <w:tcPr>
            <w:tcW w:w="1838"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7,191.4</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sidRPr="007828C4">
              <w:rPr>
                <w:rFonts w:eastAsia="Arial Unicode MS" w:cs="Arial"/>
                <w:b/>
                <w:sz w:val="20"/>
                <w:szCs w:val="20"/>
              </w:rPr>
              <w:t>100.0%</w:t>
            </w:r>
          </w:p>
        </w:tc>
        <w:tc>
          <w:tcPr>
            <w:tcW w:w="269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20"/>
              </w:rPr>
            </w:pPr>
          </w:p>
        </w:tc>
        <w:tc>
          <w:tcPr>
            <w:tcW w:w="1985"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7,610.2</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20"/>
              </w:rPr>
            </w:pPr>
            <w:r>
              <w:rPr>
                <w:rFonts w:eastAsia="Arial Unicode MS" w:cs="Arial"/>
                <w:b/>
                <w:sz w:val="20"/>
                <w:szCs w:val="20"/>
              </w:rPr>
              <w:t>100.0%</w:t>
            </w:r>
          </w:p>
        </w:tc>
      </w:tr>
    </w:tbl>
    <w:p w:rsidR="00D66945" w:rsidRDefault="00D66945" w:rsidP="00D66945">
      <w:pPr>
        <w:rPr>
          <w:rFonts w:eastAsia="Arial Unicode MS" w:cs="Arial"/>
          <w:sz w:val="22"/>
        </w:rPr>
      </w:pPr>
    </w:p>
    <w:p w:rsidR="00F40296" w:rsidRPr="007828C4" w:rsidRDefault="00F40296" w:rsidP="00D66945">
      <w:pPr>
        <w:rPr>
          <w:rFonts w:eastAsia="Arial Unicode MS" w:cs="Arial"/>
          <w:sz w:val="22"/>
        </w:rPr>
      </w:pPr>
    </w:p>
    <w:p w:rsidR="00D66945" w:rsidRPr="007828C4" w:rsidRDefault="00D66945" w:rsidP="00D66945">
      <w:pPr>
        <w:rPr>
          <w:rFonts w:eastAsia="Arial Unicode MS" w:cs="Arial"/>
          <w:b/>
          <w:sz w:val="32"/>
          <w:szCs w:val="32"/>
        </w:rPr>
      </w:pPr>
      <w:r w:rsidRPr="007828C4">
        <w:rPr>
          <w:rFonts w:eastAsia="Arial Unicode MS" w:cs="Arial"/>
          <w:b/>
          <w:sz w:val="32"/>
          <w:szCs w:val="32"/>
        </w:rPr>
        <w:t>Fixed interest securities</w:t>
      </w:r>
    </w:p>
    <w:tbl>
      <w:tblPr>
        <w:tblW w:w="99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843"/>
        <w:gridCol w:w="6379"/>
        <w:gridCol w:w="1701"/>
      </w:tblGrid>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379" w:type="dxa"/>
            <w:tcBorders>
              <w:bottom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379"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20.9</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UK corporate bonds quoted</w:t>
            </w:r>
          </w:p>
        </w:tc>
        <w:tc>
          <w:tcPr>
            <w:tcW w:w="1701" w:type="dxa"/>
            <w:shd w:val="clear" w:color="auto" w:fill="auto"/>
          </w:tcPr>
          <w:p w:rsidR="00D66945" w:rsidRPr="00964057"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32.5</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13.6</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Overseas public sector</w:t>
            </w:r>
          </w:p>
        </w:tc>
        <w:tc>
          <w:tcPr>
            <w:tcW w:w="1701" w:type="dxa"/>
            <w:shd w:val="clear" w:color="auto" w:fill="auto"/>
          </w:tcPr>
          <w:p w:rsidR="00D66945" w:rsidRPr="00964057"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14.2</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97.7</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Overseas corporate bonds quoted</w:t>
            </w:r>
          </w:p>
        </w:tc>
        <w:tc>
          <w:tcPr>
            <w:tcW w:w="1701" w:type="dxa"/>
            <w:shd w:val="clear" w:color="auto" w:fill="auto"/>
          </w:tcPr>
          <w:p w:rsidR="00D66945" w:rsidRPr="00964057"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70.1</w:t>
            </w:r>
          </w:p>
        </w:tc>
      </w:tr>
      <w:tr w:rsidR="00D66945" w:rsidRPr="007828C4" w:rsidTr="00A33453">
        <w:trPr>
          <w:trHeight w:val="431"/>
        </w:trPr>
        <w:tc>
          <w:tcPr>
            <w:tcW w:w="184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132.2</w:t>
            </w:r>
          </w:p>
        </w:tc>
        <w:tc>
          <w:tcPr>
            <w:tcW w:w="6379"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116.8</w:t>
            </w:r>
          </w:p>
        </w:tc>
      </w:tr>
    </w:tbl>
    <w:p w:rsidR="00D66945" w:rsidRDefault="00D66945" w:rsidP="00D66945">
      <w:pPr>
        <w:rPr>
          <w:rFonts w:eastAsia="Arial Unicode MS" w:cs="Arial"/>
          <w:sz w:val="22"/>
        </w:rPr>
      </w:pPr>
    </w:p>
    <w:p w:rsidR="00F40296" w:rsidRPr="007828C4" w:rsidRDefault="00F40296" w:rsidP="00D66945">
      <w:pPr>
        <w:rPr>
          <w:rFonts w:eastAsia="Arial Unicode MS" w:cs="Arial"/>
          <w:sz w:val="22"/>
        </w:rPr>
      </w:pPr>
    </w:p>
    <w:p w:rsidR="00D66945" w:rsidRPr="007828C4" w:rsidRDefault="00D66945" w:rsidP="00D66945">
      <w:pPr>
        <w:rPr>
          <w:rFonts w:eastAsia="Arial Unicode MS" w:cs="Arial"/>
          <w:b/>
          <w:sz w:val="32"/>
          <w:szCs w:val="20"/>
        </w:rPr>
      </w:pPr>
      <w:r w:rsidRPr="007828C4">
        <w:rPr>
          <w:rFonts w:eastAsia="Arial Unicode MS" w:cs="Arial"/>
          <w:b/>
          <w:sz w:val="32"/>
          <w:szCs w:val="20"/>
        </w:rPr>
        <w:t>Index linked securities</w:t>
      </w:r>
    </w:p>
    <w:tbl>
      <w:tblPr>
        <w:tblW w:w="99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843"/>
        <w:gridCol w:w="6379"/>
        <w:gridCol w:w="1701"/>
      </w:tblGrid>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379" w:type="dxa"/>
            <w:tcBorders>
              <w:bottom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379"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127.1</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UK quoted</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178.0</w:t>
            </w:r>
          </w:p>
        </w:tc>
      </w:tr>
      <w:tr w:rsidR="00D66945" w:rsidRPr="007828C4" w:rsidTr="00A33453">
        <w:trPr>
          <w:trHeight w:val="431"/>
        </w:trPr>
        <w:tc>
          <w:tcPr>
            <w:tcW w:w="184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127.1</w:t>
            </w:r>
          </w:p>
        </w:tc>
        <w:tc>
          <w:tcPr>
            <w:tcW w:w="6379"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178.0</w:t>
            </w:r>
          </w:p>
        </w:tc>
      </w:tr>
    </w:tbl>
    <w:p w:rsidR="00D66945" w:rsidRDefault="00D66945" w:rsidP="00D66945">
      <w:pPr>
        <w:rPr>
          <w:rFonts w:eastAsia="Arial Unicode MS" w:cs="Arial"/>
          <w:b/>
          <w:sz w:val="32"/>
          <w:szCs w:val="20"/>
        </w:rPr>
      </w:pPr>
    </w:p>
    <w:p w:rsidR="00F40296" w:rsidRPr="007828C4" w:rsidRDefault="00F40296" w:rsidP="00D66945">
      <w:pPr>
        <w:rPr>
          <w:rFonts w:eastAsia="Arial Unicode MS" w:cs="Arial"/>
          <w:b/>
          <w:sz w:val="32"/>
          <w:szCs w:val="20"/>
        </w:rPr>
      </w:pPr>
    </w:p>
    <w:p w:rsidR="00D66945" w:rsidRPr="007828C4" w:rsidRDefault="00D66945" w:rsidP="00D66945">
      <w:pPr>
        <w:rPr>
          <w:rFonts w:eastAsia="Arial Unicode MS" w:cs="Arial"/>
          <w:b/>
          <w:sz w:val="32"/>
          <w:szCs w:val="20"/>
        </w:rPr>
      </w:pPr>
      <w:r w:rsidRPr="007828C4">
        <w:rPr>
          <w:rFonts w:eastAsia="Arial Unicode MS" w:cs="Arial"/>
          <w:b/>
          <w:sz w:val="32"/>
          <w:szCs w:val="20"/>
        </w:rPr>
        <w:t>Direct property investments</w:t>
      </w:r>
    </w:p>
    <w:tbl>
      <w:tblPr>
        <w:tblW w:w="99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843"/>
        <w:gridCol w:w="6379"/>
        <w:gridCol w:w="1701"/>
      </w:tblGrid>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379" w:type="dxa"/>
            <w:tcBorders>
              <w:bottom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379"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538.8</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UK – freehold</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601.8</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98.2</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UK – long leasehold</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113.7</w:t>
            </w:r>
          </w:p>
        </w:tc>
      </w:tr>
      <w:tr w:rsidR="00D66945" w:rsidRPr="007828C4" w:rsidTr="00A33453">
        <w:trPr>
          <w:trHeight w:val="431"/>
        </w:trPr>
        <w:tc>
          <w:tcPr>
            <w:tcW w:w="184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637.0</w:t>
            </w:r>
          </w:p>
        </w:tc>
        <w:tc>
          <w:tcPr>
            <w:tcW w:w="6379"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715.5</w:t>
            </w:r>
          </w:p>
        </w:tc>
      </w:tr>
    </w:tbl>
    <w:p w:rsidR="00D66945" w:rsidRPr="007828C4" w:rsidRDefault="00D66945" w:rsidP="00D66945">
      <w:pPr>
        <w:rPr>
          <w:rFonts w:eastAsia="Arial Unicode MS" w:cs="Arial"/>
          <w:b/>
          <w:sz w:val="28"/>
          <w:szCs w:val="20"/>
        </w:rPr>
      </w:pPr>
    </w:p>
    <w:p w:rsidR="00F40296" w:rsidRDefault="00F40296" w:rsidP="00D66945">
      <w:pPr>
        <w:rPr>
          <w:rFonts w:eastAsia="Arial Unicode MS" w:cs="Arial"/>
          <w:b/>
          <w:sz w:val="32"/>
          <w:szCs w:val="20"/>
        </w:rPr>
      </w:pPr>
    </w:p>
    <w:p w:rsidR="00D66945" w:rsidRPr="007828C4" w:rsidRDefault="00D66945" w:rsidP="00D66945">
      <w:pPr>
        <w:rPr>
          <w:rFonts w:eastAsia="Arial Unicode MS" w:cs="Arial"/>
        </w:rPr>
      </w:pPr>
      <w:r w:rsidRPr="007828C4">
        <w:rPr>
          <w:rFonts w:eastAsia="Arial Unicode MS" w:cs="Arial"/>
          <w:b/>
          <w:sz w:val="32"/>
          <w:szCs w:val="20"/>
        </w:rPr>
        <w:t>Pooled investment vehicles</w:t>
      </w:r>
    </w:p>
    <w:tbl>
      <w:tblPr>
        <w:tblW w:w="99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843"/>
        <w:gridCol w:w="6379"/>
        <w:gridCol w:w="1701"/>
      </w:tblGrid>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379" w:type="dxa"/>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379" w:type="dxa"/>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20"/>
              </w:rPr>
              <w:t>UK managed funds:</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71.5</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Fixed income funds</w:t>
            </w:r>
            <w:r w:rsidRPr="00953B0F">
              <w:rPr>
                <w:rFonts w:eastAsia="Arial Unicode MS" w:cs="Arial"/>
                <w:sz w:val="20"/>
                <w:szCs w:val="20"/>
              </w:rPr>
              <w:t>*</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183.8</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79.5</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Private equity</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108.2</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136.1</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Infrastructure</w:t>
            </w:r>
            <w:r w:rsidRPr="00953B0F">
              <w:rPr>
                <w:rFonts w:eastAsia="Arial Unicode MS" w:cs="Arial"/>
                <w:sz w:val="20"/>
                <w:szCs w:val="20"/>
              </w:rPr>
              <w:t>*</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953B0F">
              <w:rPr>
                <w:rFonts w:eastAsia="Arial Unicode MS" w:cs="Arial"/>
                <w:sz w:val="20"/>
                <w:szCs w:val="18"/>
              </w:rPr>
              <w:t>760.1</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953B0F">
              <w:rPr>
                <w:rFonts w:eastAsia="Arial Unicode MS" w:cs="Arial"/>
                <w:sz w:val="20"/>
                <w:szCs w:val="18"/>
              </w:rPr>
              <w:t>189.6</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 xml:space="preserve">Long term credit </w:t>
            </w:r>
            <w:r w:rsidRPr="00953B0F">
              <w:rPr>
                <w:rFonts w:eastAsia="Arial Unicode MS" w:cs="Arial"/>
                <w:sz w:val="20"/>
                <w:szCs w:val="20"/>
              </w:rPr>
              <w:t>investments*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1,110.3</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58.3</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Property funds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67.3</w:t>
            </w:r>
          </w:p>
        </w:tc>
      </w:tr>
      <w:tr w:rsidR="00D66945" w:rsidRPr="007828C4" w:rsidTr="00A33453">
        <w:trPr>
          <w:trHeight w:val="431"/>
        </w:trPr>
        <w:tc>
          <w:tcPr>
            <w:tcW w:w="184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c>
          <w:tcPr>
            <w:tcW w:w="6379"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0"/>
              </w:rPr>
              <w:t>Overseas managed funds:</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p>
        </w:tc>
      </w:tr>
      <w:tr w:rsidR="00D66945" w:rsidRPr="007828C4" w:rsidTr="00A33453">
        <w:trPr>
          <w:trHeight w:val="327"/>
        </w:trPr>
        <w:tc>
          <w:tcPr>
            <w:tcW w:w="1843" w:type="dxa"/>
            <w:shd w:val="clear" w:color="auto" w:fill="auto"/>
          </w:tcPr>
          <w:p w:rsidR="00D66945" w:rsidRPr="00953B0F" w:rsidRDefault="00D66945" w:rsidP="00A33453">
            <w:pPr>
              <w:tabs>
                <w:tab w:val="left" w:pos="2160"/>
                <w:tab w:val="left" w:pos="6885"/>
              </w:tabs>
              <w:spacing w:after="60"/>
              <w:jc w:val="right"/>
              <w:rPr>
                <w:rFonts w:eastAsia="Arial Unicode MS" w:cs="Arial"/>
                <w:sz w:val="20"/>
                <w:szCs w:val="20"/>
              </w:rPr>
            </w:pPr>
            <w:r w:rsidRPr="00953B0F">
              <w:rPr>
                <w:rFonts w:eastAsia="Arial Unicode MS" w:cs="Arial"/>
                <w:sz w:val="20"/>
                <w:szCs w:val="18"/>
              </w:rPr>
              <w:t>1,125.1</w:t>
            </w:r>
          </w:p>
        </w:tc>
        <w:tc>
          <w:tcPr>
            <w:tcW w:w="6379" w:type="dxa"/>
            <w:shd w:val="clear" w:color="auto" w:fill="auto"/>
          </w:tcPr>
          <w:p w:rsidR="00D66945" w:rsidRPr="00953B0F" w:rsidRDefault="00D66945" w:rsidP="00A33453">
            <w:pPr>
              <w:tabs>
                <w:tab w:val="left" w:pos="1455"/>
                <w:tab w:val="left" w:pos="5040"/>
                <w:tab w:val="left" w:pos="6885"/>
              </w:tabs>
              <w:rPr>
                <w:rFonts w:eastAsia="Arial Unicode MS" w:cs="Arial"/>
                <w:sz w:val="20"/>
                <w:szCs w:val="20"/>
              </w:rPr>
            </w:pPr>
            <w:r w:rsidRPr="00953B0F">
              <w:rPr>
                <w:rFonts w:eastAsia="Arial Unicode MS" w:cs="Arial"/>
                <w:sz w:val="20"/>
                <w:szCs w:val="20"/>
              </w:rPr>
              <w:t>Fixed income funds*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02667F">
              <w:rPr>
                <w:rFonts w:eastAsia="Arial Unicode MS" w:cs="Arial"/>
                <w:sz w:val="20"/>
                <w:szCs w:val="18"/>
              </w:rPr>
              <w:t>242.8</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401.4</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Private equity</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439.5</w:t>
            </w:r>
          </w:p>
        </w:tc>
      </w:tr>
      <w:tr w:rsidR="00D66945" w:rsidRPr="007828C4" w:rsidTr="00A33453">
        <w:trPr>
          <w:trHeight w:val="431"/>
        </w:trPr>
        <w:tc>
          <w:tcPr>
            <w:tcW w:w="1843" w:type="dxa"/>
            <w:shd w:val="clear" w:color="auto" w:fill="auto"/>
          </w:tcPr>
          <w:p w:rsidR="00D66945" w:rsidRPr="00953B0F" w:rsidRDefault="00D66945" w:rsidP="00A33453">
            <w:pPr>
              <w:tabs>
                <w:tab w:val="left" w:pos="2160"/>
                <w:tab w:val="left" w:pos="6885"/>
              </w:tabs>
              <w:spacing w:after="60"/>
              <w:jc w:val="right"/>
              <w:rPr>
                <w:rFonts w:eastAsia="Arial Unicode MS" w:cs="Arial"/>
                <w:sz w:val="20"/>
                <w:szCs w:val="20"/>
              </w:rPr>
            </w:pPr>
            <w:r w:rsidRPr="00953B0F">
              <w:rPr>
                <w:rFonts w:eastAsia="Arial Unicode MS" w:cs="Arial"/>
                <w:sz w:val="20"/>
                <w:szCs w:val="18"/>
              </w:rPr>
              <w:t>761.8</w:t>
            </w:r>
          </w:p>
        </w:tc>
        <w:tc>
          <w:tcPr>
            <w:tcW w:w="6379" w:type="dxa"/>
            <w:shd w:val="clear" w:color="auto" w:fill="auto"/>
          </w:tcPr>
          <w:p w:rsidR="00D66945" w:rsidRPr="00953B0F" w:rsidRDefault="00D66945" w:rsidP="00A33453">
            <w:pPr>
              <w:tabs>
                <w:tab w:val="left" w:pos="1455"/>
                <w:tab w:val="left" w:pos="5040"/>
                <w:tab w:val="left" w:pos="6885"/>
              </w:tabs>
              <w:rPr>
                <w:rFonts w:eastAsia="Arial Unicode MS" w:cs="Arial"/>
                <w:sz w:val="20"/>
                <w:szCs w:val="20"/>
              </w:rPr>
            </w:pPr>
            <w:r w:rsidRPr="00953B0F">
              <w:rPr>
                <w:rFonts w:eastAsia="Arial Unicode MS" w:cs="Arial"/>
                <w:sz w:val="20"/>
                <w:szCs w:val="20"/>
              </w:rPr>
              <w:t>Infrastructure*</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231.1</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20"/>
              </w:rPr>
            </w:pPr>
            <w:r w:rsidRPr="007828C4">
              <w:rPr>
                <w:rFonts w:eastAsia="Arial Unicode MS" w:cs="Arial"/>
                <w:sz w:val="20"/>
                <w:szCs w:val="18"/>
              </w:rPr>
              <w:t>204.1</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Long term credit investments</w:t>
            </w:r>
            <w:r w:rsidRPr="00953B0F">
              <w:rPr>
                <w:rFonts w:eastAsia="Arial Unicode MS" w:cs="Arial"/>
                <w:sz w:val="20"/>
                <w:szCs w:val="20"/>
              </w:rPr>
              <w:t>*</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31.2</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3,168.2</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Equity funds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3,214.4</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41.0</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Property funds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46.0</w:t>
            </w:r>
          </w:p>
        </w:tc>
      </w:tr>
      <w:tr w:rsidR="00D66945" w:rsidRPr="007828C4" w:rsidTr="00A33453">
        <w:trPr>
          <w:trHeight w:val="431"/>
        </w:trPr>
        <w:tc>
          <w:tcPr>
            <w:tcW w:w="184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6,236.1</w:t>
            </w:r>
          </w:p>
        </w:tc>
        <w:tc>
          <w:tcPr>
            <w:tcW w:w="6379"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6,434.7</w:t>
            </w:r>
          </w:p>
        </w:tc>
      </w:tr>
    </w:tbl>
    <w:p w:rsidR="00D66945" w:rsidRDefault="00D66945" w:rsidP="00D66945">
      <w:pPr>
        <w:rPr>
          <w:rFonts w:eastAsia="Arial Unicode MS" w:cs="Arial"/>
          <w:sz w:val="20"/>
          <w:szCs w:val="20"/>
        </w:rPr>
      </w:pPr>
      <w:r w:rsidRPr="00953B0F">
        <w:rPr>
          <w:rFonts w:eastAsia="Arial Unicode MS" w:cs="Arial"/>
          <w:sz w:val="22"/>
          <w:szCs w:val="22"/>
        </w:rPr>
        <w:t>*</w:t>
      </w:r>
      <w:r w:rsidRPr="00FB63AB">
        <w:rPr>
          <w:rFonts w:eastAsia="Arial Unicode MS" w:cs="Arial"/>
          <w:sz w:val="20"/>
          <w:szCs w:val="20"/>
        </w:rPr>
        <w:t>the pooling of infrastructure, long term credit and fixed income funds with LPPI during the year ended 31 March 2018 has resulted in realignment of these pooled investment vehicles from overseas to UK managed funds.  Investments previously classified as overseas fixed income funds have also been transitioned into the UK managed LPPI credit pool.</w:t>
      </w:r>
    </w:p>
    <w:p w:rsidR="00F40296" w:rsidRDefault="00F40296" w:rsidP="00D66945">
      <w:pPr>
        <w:rPr>
          <w:rFonts w:eastAsia="Arial Unicode MS" w:cs="Arial"/>
          <w:sz w:val="20"/>
          <w:szCs w:val="20"/>
        </w:rPr>
      </w:pPr>
    </w:p>
    <w:p w:rsidR="00F40296" w:rsidRPr="00FB63AB" w:rsidRDefault="00F40296" w:rsidP="00D66945">
      <w:pPr>
        <w:rPr>
          <w:rFonts w:eastAsia="Arial Unicode MS" w:cs="Arial"/>
          <w:sz w:val="20"/>
          <w:szCs w:val="20"/>
        </w:rPr>
      </w:pPr>
    </w:p>
    <w:p w:rsidR="00D66945" w:rsidRPr="007828C4" w:rsidRDefault="00D66945" w:rsidP="00D66945">
      <w:pPr>
        <w:rPr>
          <w:rFonts w:eastAsia="Arial Unicode MS" w:cs="Arial"/>
          <w:b/>
          <w:sz w:val="32"/>
          <w:szCs w:val="22"/>
        </w:rPr>
      </w:pPr>
      <w:r w:rsidRPr="007828C4">
        <w:rPr>
          <w:rFonts w:eastAsia="Arial Unicode MS" w:cs="Arial"/>
          <w:b/>
          <w:sz w:val="32"/>
          <w:szCs w:val="22"/>
        </w:rPr>
        <w:t>Property holdings</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Fund's investment in property comprises of investments in pooled property funds along with a number of directly owned properties which are leased commercially to various tenants. </w:t>
      </w:r>
    </w:p>
    <w:p w:rsidR="00D66945" w:rsidRDefault="00D66945" w:rsidP="00D66945">
      <w:pPr>
        <w:rPr>
          <w:rFonts w:eastAsia="Arial Unicode MS" w:cs="Arial"/>
          <w:sz w:val="22"/>
          <w:szCs w:val="22"/>
        </w:rPr>
      </w:pPr>
      <w:r w:rsidRPr="007828C4">
        <w:rPr>
          <w:rFonts w:eastAsia="Arial Unicode MS" w:cs="Arial"/>
          <w:sz w:val="22"/>
          <w:szCs w:val="22"/>
        </w:rPr>
        <w:t>Details of these directly owned properties are as follows.</w:t>
      </w:r>
    </w:p>
    <w:tbl>
      <w:tblPr>
        <w:tblW w:w="99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843"/>
        <w:gridCol w:w="6379"/>
        <w:gridCol w:w="1701"/>
      </w:tblGrid>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r w:rsidRPr="00953B0F">
              <w:rPr>
                <w:rFonts w:eastAsia="Arial Unicode MS" w:cs="Arial"/>
                <w:b/>
                <w:sz w:val="20"/>
                <w:szCs w:val="18"/>
              </w:rPr>
              <w:t>*</w:t>
            </w:r>
          </w:p>
        </w:tc>
        <w:tc>
          <w:tcPr>
            <w:tcW w:w="6379" w:type="dxa"/>
            <w:tcBorders>
              <w:bottom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843"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379"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84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sidRPr="007828C4">
              <w:rPr>
                <w:rFonts w:eastAsia="Arial Unicode MS" w:cs="Arial"/>
                <w:b/>
                <w:sz w:val="20"/>
                <w:szCs w:val="20"/>
              </w:rPr>
              <w:t>608.1</w:t>
            </w:r>
          </w:p>
        </w:tc>
        <w:tc>
          <w:tcPr>
            <w:tcW w:w="6379"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r w:rsidRPr="007828C4">
              <w:rPr>
                <w:rFonts w:eastAsia="Arial Unicode MS" w:cs="Arial"/>
                <w:b/>
                <w:sz w:val="20"/>
                <w:szCs w:val="20"/>
              </w:rPr>
              <w:t>Opening balance</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637.0</w:t>
            </w:r>
          </w:p>
        </w:tc>
      </w:tr>
      <w:tr w:rsidR="00D66945" w:rsidRPr="007828C4" w:rsidTr="00A33453">
        <w:trPr>
          <w:trHeight w:val="431"/>
        </w:trPr>
        <w:tc>
          <w:tcPr>
            <w:tcW w:w="184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p>
        </w:tc>
        <w:tc>
          <w:tcPr>
            <w:tcW w:w="6379"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r w:rsidRPr="007828C4">
              <w:rPr>
                <w:rFonts w:eastAsia="Arial Unicode MS" w:cs="Arial"/>
                <w:b/>
                <w:sz w:val="20"/>
                <w:szCs w:val="20"/>
              </w:rPr>
              <w:t>Additions:</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p>
        </w:tc>
      </w:tr>
      <w:tr w:rsidR="00D66945" w:rsidRPr="007828C4" w:rsidTr="00A33453">
        <w:trPr>
          <w:trHeight w:val="431"/>
        </w:trPr>
        <w:tc>
          <w:tcPr>
            <w:tcW w:w="1843" w:type="dxa"/>
            <w:shd w:val="clear" w:color="auto" w:fill="auto"/>
          </w:tcPr>
          <w:p w:rsidR="00D66945" w:rsidRPr="0018298A" w:rsidRDefault="00D66945" w:rsidP="00A33453">
            <w:pPr>
              <w:tabs>
                <w:tab w:val="left" w:pos="2160"/>
                <w:tab w:val="left" w:pos="6885"/>
              </w:tabs>
              <w:spacing w:after="60"/>
              <w:jc w:val="right"/>
              <w:rPr>
                <w:rFonts w:eastAsia="Arial Unicode MS" w:cs="Arial"/>
                <w:sz w:val="20"/>
                <w:szCs w:val="18"/>
              </w:rPr>
            </w:pPr>
            <w:r w:rsidRPr="0018298A">
              <w:rPr>
                <w:rFonts w:eastAsia="Arial Unicode MS" w:cs="Arial"/>
                <w:sz w:val="20"/>
                <w:szCs w:val="18"/>
              </w:rPr>
              <w:t>14.</w:t>
            </w:r>
            <w:r>
              <w:rPr>
                <w:rFonts w:eastAsia="Arial Unicode MS" w:cs="Arial"/>
                <w:sz w:val="20"/>
                <w:szCs w:val="18"/>
              </w:rPr>
              <w:t>6</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Purchases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18.3</w:t>
            </w:r>
          </w:p>
        </w:tc>
      </w:tr>
      <w:tr w:rsidR="00D66945" w:rsidRPr="007828C4" w:rsidTr="00A33453">
        <w:trPr>
          <w:trHeight w:val="431"/>
        </w:trPr>
        <w:tc>
          <w:tcPr>
            <w:tcW w:w="1843" w:type="dxa"/>
            <w:shd w:val="clear" w:color="auto" w:fill="auto"/>
          </w:tcPr>
          <w:p w:rsidR="00D66945" w:rsidRPr="0018298A" w:rsidRDefault="00D66945" w:rsidP="00A33453">
            <w:pPr>
              <w:tabs>
                <w:tab w:val="left" w:pos="2160"/>
                <w:tab w:val="left" w:pos="6885"/>
              </w:tabs>
              <w:spacing w:after="60"/>
              <w:jc w:val="right"/>
              <w:rPr>
                <w:rFonts w:eastAsia="Arial Unicode MS" w:cs="Arial"/>
                <w:sz w:val="20"/>
                <w:szCs w:val="18"/>
              </w:rPr>
            </w:pPr>
            <w:r w:rsidRPr="0018298A">
              <w:rPr>
                <w:rFonts w:eastAsia="Arial Unicode MS" w:cs="Arial"/>
                <w:sz w:val="20"/>
                <w:szCs w:val="18"/>
              </w:rPr>
              <w:t>11.9</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New construction</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15.5</w:t>
            </w:r>
          </w:p>
        </w:tc>
      </w:tr>
      <w:tr w:rsidR="00D66945" w:rsidRPr="007828C4" w:rsidTr="00A33453">
        <w:trPr>
          <w:trHeight w:val="431"/>
        </w:trPr>
        <w:tc>
          <w:tcPr>
            <w:tcW w:w="1843" w:type="dxa"/>
            <w:shd w:val="clear" w:color="auto" w:fill="auto"/>
          </w:tcPr>
          <w:p w:rsidR="00D66945" w:rsidRPr="0018298A" w:rsidRDefault="00D66945" w:rsidP="00A33453">
            <w:pPr>
              <w:tabs>
                <w:tab w:val="left" w:pos="2160"/>
                <w:tab w:val="left" w:pos="6885"/>
              </w:tabs>
              <w:spacing w:after="60"/>
              <w:jc w:val="right"/>
              <w:rPr>
                <w:rFonts w:eastAsia="Arial Unicode MS" w:cs="Arial"/>
                <w:sz w:val="20"/>
                <w:szCs w:val="20"/>
              </w:rPr>
            </w:pPr>
            <w:r w:rsidRPr="0018298A">
              <w:rPr>
                <w:rFonts w:eastAsia="Arial Unicode MS" w:cs="Arial"/>
                <w:sz w:val="20"/>
                <w:szCs w:val="18"/>
              </w:rPr>
              <w:t>6.7</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20"/>
              </w:rPr>
            </w:pPr>
            <w:r w:rsidRPr="007828C4">
              <w:rPr>
                <w:rFonts w:eastAsia="Arial Unicode MS" w:cs="Arial"/>
                <w:sz w:val="20"/>
                <w:szCs w:val="20"/>
              </w:rPr>
              <w:t>Subsequent expenditure</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9.2</w:t>
            </w:r>
          </w:p>
        </w:tc>
      </w:tr>
      <w:tr w:rsidR="00D66945" w:rsidRPr="007828C4" w:rsidTr="00A33453">
        <w:trPr>
          <w:trHeight w:val="431"/>
        </w:trPr>
        <w:tc>
          <w:tcPr>
            <w:tcW w:w="1843" w:type="dxa"/>
            <w:shd w:val="clear" w:color="auto" w:fill="auto"/>
          </w:tcPr>
          <w:p w:rsidR="00D66945" w:rsidRPr="00953B0F" w:rsidRDefault="00D66945" w:rsidP="00A33453">
            <w:pPr>
              <w:tabs>
                <w:tab w:val="left" w:pos="2160"/>
                <w:tab w:val="left" w:pos="6885"/>
              </w:tabs>
              <w:spacing w:after="60"/>
              <w:jc w:val="right"/>
              <w:rPr>
                <w:rFonts w:eastAsia="Arial Unicode MS" w:cs="Arial"/>
                <w:b/>
                <w:sz w:val="20"/>
                <w:szCs w:val="18"/>
              </w:rPr>
            </w:pPr>
            <w:r w:rsidRPr="00953B0F">
              <w:rPr>
                <w:rFonts w:eastAsia="Arial Unicode MS" w:cs="Arial"/>
                <w:b/>
                <w:sz w:val="20"/>
                <w:szCs w:val="18"/>
              </w:rPr>
              <w:t>33.2</w:t>
            </w:r>
          </w:p>
        </w:tc>
        <w:tc>
          <w:tcPr>
            <w:tcW w:w="6379" w:type="dxa"/>
            <w:shd w:val="clear" w:color="auto" w:fill="auto"/>
          </w:tcPr>
          <w:p w:rsidR="00D66945" w:rsidRPr="00953B0F" w:rsidRDefault="00D66945" w:rsidP="00A33453">
            <w:pPr>
              <w:tabs>
                <w:tab w:val="left" w:pos="1455"/>
                <w:tab w:val="left" w:pos="5040"/>
                <w:tab w:val="left" w:pos="6885"/>
              </w:tabs>
              <w:rPr>
                <w:rFonts w:eastAsia="Arial Unicode MS" w:cs="Arial"/>
                <w:sz w:val="20"/>
                <w:szCs w:val="20"/>
              </w:rPr>
            </w:pPr>
            <w:r w:rsidRPr="00953B0F">
              <w:rPr>
                <w:rFonts w:eastAsia="Arial Unicode MS" w:cs="Arial"/>
                <w:sz w:val="20"/>
                <w:szCs w:val="20"/>
              </w:rPr>
              <w:t>Total additions</w:t>
            </w:r>
          </w:p>
        </w:tc>
        <w:tc>
          <w:tcPr>
            <w:tcW w:w="1701" w:type="dxa"/>
            <w:shd w:val="clear" w:color="auto" w:fill="auto"/>
          </w:tcPr>
          <w:p w:rsidR="00D66945" w:rsidRPr="00953B0F" w:rsidRDefault="00D66945" w:rsidP="00A33453">
            <w:pPr>
              <w:tabs>
                <w:tab w:val="left" w:pos="2160"/>
                <w:tab w:val="left" w:pos="6885"/>
              </w:tabs>
              <w:spacing w:after="60"/>
              <w:jc w:val="right"/>
              <w:rPr>
                <w:rFonts w:eastAsia="Arial Unicode MS" w:cs="Arial"/>
                <w:b/>
                <w:sz w:val="20"/>
                <w:szCs w:val="18"/>
              </w:rPr>
            </w:pPr>
            <w:r w:rsidRPr="00953B0F">
              <w:rPr>
                <w:rFonts w:eastAsia="Arial Unicode MS" w:cs="Arial"/>
                <w:b/>
                <w:sz w:val="20"/>
                <w:szCs w:val="18"/>
              </w:rPr>
              <w:t>43.0</w:t>
            </w:r>
          </w:p>
        </w:tc>
      </w:tr>
      <w:tr w:rsidR="00D66945" w:rsidRPr="007828C4" w:rsidTr="00A33453">
        <w:trPr>
          <w:trHeight w:val="431"/>
        </w:trPr>
        <w:tc>
          <w:tcPr>
            <w:tcW w:w="1843" w:type="dxa"/>
            <w:shd w:val="clear" w:color="auto" w:fill="auto"/>
          </w:tcPr>
          <w:p w:rsidR="00D66945" w:rsidRPr="0018298A" w:rsidRDefault="00D66945" w:rsidP="00A33453">
            <w:pPr>
              <w:tabs>
                <w:tab w:val="left" w:pos="2160"/>
                <w:tab w:val="left" w:pos="6885"/>
              </w:tabs>
              <w:spacing w:after="60"/>
              <w:jc w:val="right"/>
              <w:rPr>
                <w:rFonts w:eastAsia="Arial Unicode MS" w:cs="Arial"/>
                <w:sz w:val="20"/>
                <w:szCs w:val="18"/>
              </w:rPr>
            </w:pPr>
            <w:r w:rsidRPr="0018298A">
              <w:rPr>
                <w:rFonts w:eastAsia="Arial Unicode MS" w:cs="Arial"/>
                <w:sz w:val="20"/>
                <w:szCs w:val="18"/>
              </w:rPr>
              <w:t>(15.0)</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Disposals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(17.9)</w:t>
            </w:r>
          </w:p>
        </w:tc>
      </w:tr>
      <w:tr w:rsidR="00D66945" w:rsidRPr="007828C4" w:rsidTr="00A33453">
        <w:trPr>
          <w:trHeight w:val="431"/>
        </w:trPr>
        <w:tc>
          <w:tcPr>
            <w:tcW w:w="1843"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10.7</w:t>
            </w:r>
          </w:p>
        </w:tc>
        <w:tc>
          <w:tcPr>
            <w:tcW w:w="6379"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Net increase in market value</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53.4</w:t>
            </w:r>
          </w:p>
        </w:tc>
      </w:tr>
      <w:tr w:rsidR="00D66945" w:rsidRPr="007828C4" w:rsidTr="00A33453">
        <w:trPr>
          <w:trHeight w:val="431"/>
        </w:trPr>
        <w:tc>
          <w:tcPr>
            <w:tcW w:w="1843"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637.0</w:t>
            </w:r>
          </w:p>
        </w:tc>
        <w:tc>
          <w:tcPr>
            <w:tcW w:w="6379"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0"/>
              </w:rPr>
              <w:t>Closing balance</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715.5</w:t>
            </w:r>
          </w:p>
        </w:tc>
      </w:tr>
    </w:tbl>
    <w:p w:rsidR="00D66945" w:rsidRPr="007828C4" w:rsidRDefault="00D66945" w:rsidP="00D66945">
      <w:pPr>
        <w:rPr>
          <w:rFonts w:eastAsia="Arial Unicode MS" w:cs="Arial"/>
          <w:sz w:val="22"/>
          <w:szCs w:val="22"/>
        </w:rPr>
      </w:pPr>
      <w:r w:rsidRPr="00953B0F">
        <w:rPr>
          <w:rFonts w:eastAsia="Arial Unicode MS" w:cs="Arial"/>
          <w:sz w:val="22"/>
          <w:szCs w:val="22"/>
        </w:rPr>
        <w:t>*</w:t>
      </w:r>
      <w:r w:rsidRPr="00FB63AB">
        <w:rPr>
          <w:rFonts w:eastAsia="Arial Unicode MS" w:cs="Arial"/>
          <w:sz w:val="20"/>
          <w:szCs w:val="20"/>
        </w:rPr>
        <w:t>The movements on property holdings during the year 31 March 2017 have been restated for consistency of classification with the current year.</w:t>
      </w: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b/>
          <w:sz w:val="32"/>
          <w:szCs w:val="22"/>
        </w:rPr>
      </w:pPr>
      <w:r w:rsidRPr="007828C4">
        <w:rPr>
          <w:rFonts w:eastAsia="Arial Unicode MS" w:cs="Arial"/>
          <w:b/>
          <w:sz w:val="32"/>
          <w:szCs w:val="22"/>
        </w:rPr>
        <w:t>Operating leases</w:t>
      </w:r>
    </w:p>
    <w:p w:rsidR="00D66945" w:rsidRPr="007828C4" w:rsidRDefault="00D66945" w:rsidP="00D66945">
      <w:pPr>
        <w:rPr>
          <w:rFonts w:eastAsia="Arial Unicode MS" w:cs="Arial"/>
          <w:sz w:val="22"/>
          <w:szCs w:val="22"/>
        </w:rPr>
      </w:pPr>
      <w:r w:rsidRPr="007828C4">
        <w:rPr>
          <w:rFonts w:eastAsia="Arial Unicode MS" w:cs="Arial"/>
          <w:sz w:val="22"/>
          <w:szCs w:val="22"/>
        </w:rPr>
        <w:t>The Fund leases out property under operating leases.</w:t>
      </w:r>
    </w:p>
    <w:p w:rsidR="00D66945" w:rsidRPr="007828C4" w:rsidRDefault="00D66945" w:rsidP="00D66945">
      <w:pPr>
        <w:rPr>
          <w:rFonts w:eastAsia="Arial Unicode MS" w:cs="Arial"/>
          <w:sz w:val="22"/>
          <w:szCs w:val="22"/>
        </w:rPr>
      </w:pPr>
      <w:r w:rsidRPr="007828C4">
        <w:rPr>
          <w:rFonts w:eastAsia="Arial Unicode MS" w:cs="Arial"/>
          <w:sz w:val="22"/>
          <w:szCs w:val="22"/>
        </w:rPr>
        <w:t>The future minimum lease payments receivable under non-cancellable leases in future years are:</w:t>
      </w:r>
    </w:p>
    <w:p w:rsidR="00D66945" w:rsidRPr="007828C4" w:rsidRDefault="00D66945" w:rsidP="00D66945">
      <w:pPr>
        <w:rPr>
          <w:rFonts w:eastAsia="Arial Unicode MS" w:cs="Arial"/>
          <w:sz w:val="22"/>
          <w:szCs w:val="22"/>
        </w:rPr>
      </w:pPr>
    </w:p>
    <w:tbl>
      <w:tblPr>
        <w:tblW w:w="99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985"/>
        <w:gridCol w:w="6237"/>
        <w:gridCol w:w="1701"/>
      </w:tblGrid>
      <w:tr w:rsidR="00D66945" w:rsidRPr="007828C4" w:rsidTr="00A33453">
        <w:trPr>
          <w:trHeight w:val="266"/>
        </w:trPr>
        <w:tc>
          <w:tcPr>
            <w:tcW w:w="1985"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Pr>
                <w:rFonts w:eastAsia="Arial Unicode MS" w:cs="Arial"/>
                <w:b/>
                <w:sz w:val="20"/>
                <w:szCs w:val="18"/>
              </w:rPr>
              <w:t>2016/17</w:t>
            </w:r>
          </w:p>
        </w:tc>
        <w:tc>
          <w:tcPr>
            <w:tcW w:w="6237" w:type="dxa"/>
            <w:tcBorders>
              <w:bottom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Pr>
                <w:rFonts w:eastAsia="Arial Unicode MS" w:cs="Arial"/>
                <w:b/>
                <w:sz w:val="20"/>
                <w:szCs w:val="18"/>
              </w:rPr>
              <w:t>2017/18</w:t>
            </w:r>
          </w:p>
        </w:tc>
      </w:tr>
      <w:tr w:rsidR="00D66945" w:rsidRPr="007828C4" w:rsidTr="00A33453">
        <w:trPr>
          <w:trHeight w:val="266"/>
        </w:trPr>
        <w:tc>
          <w:tcPr>
            <w:tcW w:w="1985"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37"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985"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32.3</w:t>
            </w:r>
          </w:p>
        </w:tc>
        <w:tc>
          <w:tcPr>
            <w:tcW w:w="6237"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Leases expiring in the following year</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29.9</w:t>
            </w:r>
          </w:p>
        </w:tc>
      </w:tr>
      <w:tr w:rsidR="00D66945" w:rsidRPr="007828C4" w:rsidTr="00A33453">
        <w:trPr>
          <w:trHeight w:val="431"/>
        </w:trPr>
        <w:tc>
          <w:tcPr>
            <w:tcW w:w="1985"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101.5</w:t>
            </w:r>
          </w:p>
        </w:tc>
        <w:tc>
          <w:tcPr>
            <w:tcW w:w="6237"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Leases expiring in 2 to 5 years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82.8</w:t>
            </w:r>
          </w:p>
        </w:tc>
      </w:tr>
      <w:tr w:rsidR="00D66945" w:rsidRPr="007828C4" w:rsidTr="00A33453">
        <w:trPr>
          <w:trHeight w:val="431"/>
        </w:trPr>
        <w:tc>
          <w:tcPr>
            <w:tcW w:w="1985"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106.0</w:t>
            </w:r>
          </w:p>
        </w:tc>
        <w:tc>
          <w:tcPr>
            <w:tcW w:w="6237"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Leases expiring after 5 years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128.7</w:t>
            </w:r>
          </w:p>
        </w:tc>
      </w:tr>
      <w:tr w:rsidR="00D66945" w:rsidRPr="007828C4" w:rsidTr="00A33453">
        <w:trPr>
          <w:trHeight w:val="431"/>
        </w:trPr>
        <w:tc>
          <w:tcPr>
            <w:tcW w:w="1985"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239.8</w:t>
            </w:r>
          </w:p>
        </w:tc>
        <w:tc>
          <w:tcPr>
            <w:tcW w:w="6237"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0"/>
              </w:rPr>
              <w:t>Total future minimum lease payments receivable under existing non-cancellable leases</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241.4</w:t>
            </w:r>
          </w:p>
        </w:tc>
      </w:tr>
    </w:tbl>
    <w:p w:rsidR="00D66945" w:rsidRPr="007828C4" w:rsidRDefault="00D66945" w:rsidP="00D66945">
      <w:pPr>
        <w:rPr>
          <w:rFonts w:eastAsia="Arial Unicode MS" w:cs="Arial"/>
          <w:sz w:val="22"/>
          <w:szCs w:val="22"/>
        </w:rPr>
      </w:pPr>
      <w:r w:rsidRPr="007828C4">
        <w:rPr>
          <w:rFonts w:eastAsia="Arial Unicode MS" w:cs="Arial"/>
          <w:sz w:val="22"/>
          <w:szCs w:val="22"/>
        </w:rPr>
        <w:t>There are no contingent rents as all rents are fixed until the next rent review (generally on 5 year review patterns) and then are either reviewed to market rent, a fixed uplift or in line with an index.</w:t>
      </w:r>
    </w:p>
    <w:p w:rsidR="00D66945" w:rsidRPr="007828C4" w:rsidRDefault="00D66945" w:rsidP="00D66945">
      <w:pPr>
        <w:rPr>
          <w:rFonts w:eastAsia="Arial Unicode MS" w:cs="Arial"/>
          <w:sz w:val="22"/>
          <w:szCs w:val="22"/>
        </w:rPr>
      </w:pPr>
      <w:r w:rsidRPr="007828C4">
        <w:rPr>
          <w:rFonts w:eastAsia="Arial Unicode MS" w:cs="Arial"/>
          <w:sz w:val="22"/>
          <w:szCs w:val="22"/>
        </w:rPr>
        <w:t>The income is contractually secured against a wide range of tenants who in turn operate in a range of market sectors. Income is generally reviewed to market rent five yearly, and there is also an element of the portfolio income that is indexed or has fixed uplifts (generally being in the range of 2-4% per annum). The portfolio also features a number of vacant properties for which the future income depends on the terms agreed by tenants, and the investment manager is working with letting agents to fill these voids.</w:t>
      </w:r>
    </w:p>
    <w:p w:rsidR="00D66945" w:rsidRPr="007828C4" w:rsidRDefault="00D66945" w:rsidP="00D66945">
      <w:pPr>
        <w:ind w:left="720"/>
        <w:rPr>
          <w:rFonts w:eastAsia="Arial Unicode MS" w:cs="Arial"/>
          <w:b/>
          <w:sz w:val="18"/>
          <w:szCs w:val="28"/>
        </w:rPr>
      </w:pPr>
    </w:p>
    <w:p w:rsidR="00D66945" w:rsidRPr="007828C4" w:rsidRDefault="00D66945" w:rsidP="00D66945">
      <w:pPr>
        <w:tabs>
          <w:tab w:val="left" w:pos="1080"/>
        </w:tabs>
        <w:rPr>
          <w:rFonts w:eastAsia="Arial Unicode MS" w:cs="Arial"/>
          <w:b/>
          <w:sz w:val="32"/>
          <w:szCs w:val="22"/>
        </w:rPr>
      </w:pPr>
      <w:r w:rsidRPr="007828C4">
        <w:rPr>
          <w:rFonts w:eastAsia="Arial Unicode MS" w:cs="Arial"/>
          <w:b/>
          <w:sz w:val="32"/>
          <w:szCs w:val="22"/>
        </w:rPr>
        <w:t>Cash deposits</w:t>
      </w:r>
    </w:p>
    <w:tbl>
      <w:tblPr>
        <w:tblW w:w="99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985"/>
        <w:gridCol w:w="6237"/>
        <w:gridCol w:w="1701"/>
      </w:tblGrid>
      <w:tr w:rsidR="00D66945" w:rsidRPr="007828C4" w:rsidTr="00A33453">
        <w:trPr>
          <w:trHeight w:val="266"/>
        </w:trPr>
        <w:tc>
          <w:tcPr>
            <w:tcW w:w="1985"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237" w:type="dxa"/>
            <w:tcBorders>
              <w:bottom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985"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37"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985"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18.2</w:t>
            </w:r>
          </w:p>
        </w:tc>
        <w:tc>
          <w:tcPr>
            <w:tcW w:w="6237"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Sterling</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109.1</w:t>
            </w:r>
          </w:p>
        </w:tc>
      </w:tr>
      <w:tr w:rsidR="00D66945" w:rsidRPr="007828C4" w:rsidTr="00A33453">
        <w:trPr>
          <w:trHeight w:val="431"/>
        </w:trPr>
        <w:tc>
          <w:tcPr>
            <w:tcW w:w="1985"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38.1</w:t>
            </w:r>
          </w:p>
        </w:tc>
        <w:tc>
          <w:tcPr>
            <w:tcW w:w="6237"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Foreign currency</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52.9</w:t>
            </w:r>
          </w:p>
        </w:tc>
      </w:tr>
      <w:tr w:rsidR="00D66945" w:rsidRPr="007828C4" w:rsidTr="00A33453">
        <w:trPr>
          <w:trHeight w:val="431"/>
        </w:trPr>
        <w:tc>
          <w:tcPr>
            <w:tcW w:w="1985"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b/>
                <w:sz w:val="20"/>
                <w:szCs w:val="18"/>
              </w:rPr>
              <w:t>56.3</w:t>
            </w:r>
          </w:p>
        </w:tc>
        <w:tc>
          <w:tcPr>
            <w:tcW w:w="6237"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162.0</w:t>
            </w:r>
          </w:p>
        </w:tc>
      </w:tr>
    </w:tbl>
    <w:p w:rsidR="00D66945" w:rsidRPr="007828C4" w:rsidRDefault="00D66945" w:rsidP="00D66945">
      <w:pPr>
        <w:ind w:left="720"/>
        <w:contextualSpacing/>
        <w:rPr>
          <w:rFonts w:eastAsia="Arial Unicode MS" w:cs="Arial"/>
          <w:b/>
          <w:sz w:val="28"/>
          <w:szCs w:val="22"/>
        </w:rPr>
      </w:pPr>
    </w:p>
    <w:p w:rsidR="00D66945" w:rsidRPr="007828C4" w:rsidRDefault="00D66945" w:rsidP="00D66945">
      <w:pPr>
        <w:ind w:left="283"/>
        <w:contextualSpacing/>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4</w:t>
      </w:r>
      <w:r w:rsidRPr="007828C4">
        <w:rPr>
          <w:rFonts w:eastAsia="Arial Unicode MS" w:cs="Arial"/>
          <w:b/>
          <w:sz w:val="32"/>
          <w:szCs w:val="22"/>
        </w:rPr>
        <w:t>. FINANCIAL INSTRUMENTS CLASSIFICATION</w:t>
      </w:r>
    </w:p>
    <w:p w:rsidR="00D66945" w:rsidRPr="007828C4" w:rsidRDefault="00D66945" w:rsidP="00D66945">
      <w:pPr>
        <w:contextualSpacing/>
        <w:rPr>
          <w:rFonts w:eastAsia="Arial Unicode MS" w:cs="Arial"/>
          <w:b/>
          <w:sz w:val="22"/>
          <w:szCs w:val="22"/>
        </w:rPr>
      </w:pPr>
    </w:p>
    <w:p w:rsidR="00D66945" w:rsidRPr="007828C4" w:rsidRDefault="00D66945" w:rsidP="00D66945">
      <w:pPr>
        <w:contextualSpacing/>
        <w:rPr>
          <w:rFonts w:eastAsia="Arial Unicode MS" w:cs="Arial"/>
          <w:sz w:val="22"/>
          <w:szCs w:val="22"/>
        </w:rPr>
      </w:pPr>
      <w:r w:rsidRPr="007828C4">
        <w:rPr>
          <w:rFonts w:eastAsia="Arial Unicode MS" w:cs="Arial"/>
          <w:sz w:val="22"/>
          <w:szCs w:val="22"/>
        </w:rPr>
        <w:t>The following table analyses the carrying amounts of financial assets and liabilities by category and net asset statement heading.   Directly held property is excluded from this note.</w:t>
      </w:r>
    </w:p>
    <w:p w:rsidR="00D66945" w:rsidRPr="007828C4" w:rsidRDefault="00D66945" w:rsidP="00D66945">
      <w:pPr>
        <w:ind w:left="720"/>
        <w:contextualSpacing/>
        <w:rPr>
          <w:rFonts w:eastAsia="Arial Unicode MS" w:cs="Arial"/>
          <w:sz w:val="22"/>
          <w:szCs w:val="22"/>
        </w:rPr>
      </w:pPr>
    </w:p>
    <w:tbl>
      <w:tblPr>
        <w:tblStyle w:val="TableGrid12"/>
        <w:tblW w:w="9918" w:type="dxa"/>
        <w:tblLook w:val="04A0" w:firstRow="1" w:lastRow="0" w:firstColumn="1" w:lastColumn="0" w:noHBand="0" w:noVBand="1"/>
      </w:tblPr>
      <w:tblGrid>
        <w:gridCol w:w="4551"/>
        <w:gridCol w:w="1823"/>
        <w:gridCol w:w="1843"/>
        <w:gridCol w:w="1701"/>
      </w:tblGrid>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8</w:t>
            </w:r>
          </w:p>
        </w:tc>
        <w:tc>
          <w:tcPr>
            <w:tcW w:w="182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Fair value through profit or loss</w:t>
            </w:r>
          </w:p>
        </w:tc>
        <w:tc>
          <w:tcPr>
            <w:tcW w:w="184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 xml:space="preserve">Loans </w:t>
            </w: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 xml:space="preserve">and </w:t>
            </w: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receivables</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Financial liabilities at amortised cost</w:t>
            </w: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1823" w:type="dxa"/>
            <w:tcBorders>
              <w:top w:val="single" w:sz="4" w:space="0" w:color="008080"/>
              <w:left w:val="single" w:sz="4" w:space="0" w:color="008080"/>
              <w:bottom w:val="single" w:sz="4" w:space="0" w:color="008080"/>
              <w:right w:val="single" w:sz="4" w:space="0" w:color="008080"/>
            </w:tcBorders>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843" w:type="dxa"/>
            <w:tcBorders>
              <w:top w:val="single" w:sz="4" w:space="0" w:color="008080"/>
              <w:left w:val="single" w:sz="4" w:space="0" w:color="008080"/>
              <w:bottom w:val="single" w:sz="4" w:space="0" w:color="008080"/>
              <w:right w:val="single" w:sz="4" w:space="0" w:color="008080"/>
            </w:tcBorders>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Financial assets</w:t>
            </w:r>
          </w:p>
        </w:tc>
        <w:tc>
          <w:tcPr>
            <w:tcW w:w="182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184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Fixed interest securities</w:t>
            </w:r>
          </w:p>
        </w:tc>
        <w:tc>
          <w:tcPr>
            <w:tcW w:w="182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116.8</w:t>
            </w:r>
          </w:p>
        </w:tc>
        <w:tc>
          <w:tcPr>
            <w:tcW w:w="184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Index linked securities</w:t>
            </w:r>
          </w:p>
        </w:tc>
        <w:tc>
          <w:tcPr>
            <w:tcW w:w="182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178.0</w:t>
            </w:r>
          </w:p>
        </w:tc>
        <w:tc>
          <w:tcPr>
            <w:tcW w:w="184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Pooled investment vehicles</w:t>
            </w:r>
          </w:p>
        </w:tc>
        <w:tc>
          <w:tcPr>
            <w:tcW w:w="182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6,321.5</w:t>
            </w:r>
          </w:p>
        </w:tc>
        <w:tc>
          <w:tcPr>
            <w:tcW w:w="184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Pooled property investments</w:t>
            </w:r>
          </w:p>
        </w:tc>
        <w:tc>
          <w:tcPr>
            <w:tcW w:w="182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113.3</w:t>
            </w:r>
          </w:p>
        </w:tc>
        <w:tc>
          <w:tcPr>
            <w:tcW w:w="184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Cash deposits</w:t>
            </w:r>
          </w:p>
        </w:tc>
        <w:tc>
          <w:tcPr>
            <w:tcW w:w="182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84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162.0</w:t>
            </w:r>
          </w:p>
        </w:tc>
        <w:tc>
          <w:tcPr>
            <w:tcW w:w="170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Investment accruals</w:t>
            </w:r>
          </w:p>
        </w:tc>
        <w:tc>
          <w:tcPr>
            <w:tcW w:w="182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3.1</w:t>
            </w:r>
          </w:p>
        </w:tc>
        <w:tc>
          <w:tcPr>
            <w:tcW w:w="184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Debtors</w:t>
            </w:r>
          </w:p>
        </w:tc>
        <w:tc>
          <w:tcPr>
            <w:tcW w:w="182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84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23.5</w:t>
            </w:r>
          </w:p>
        </w:tc>
        <w:tc>
          <w:tcPr>
            <w:tcW w:w="170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Total financial assets</w:t>
            </w:r>
          </w:p>
        </w:tc>
        <w:tc>
          <w:tcPr>
            <w:tcW w:w="182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6,732.7</w:t>
            </w:r>
          </w:p>
        </w:tc>
        <w:tc>
          <w:tcPr>
            <w:tcW w:w="184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185.5</w:t>
            </w: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Financial liabilities</w:t>
            </w:r>
          </w:p>
        </w:tc>
        <w:tc>
          <w:tcPr>
            <w:tcW w:w="182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84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Creditors</w:t>
            </w:r>
          </w:p>
        </w:tc>
        <w:tc>
          <w:tcPr>
            <w:tcW w:w="182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843"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p>
        </w:tc>
        <w:tc>
          <w:tcPr>
            <w:tcW w:w="1701" w:type="dxa"/>
            <w:tcBorders>
              <w:top w:val="single" w:sz="4" w:space="0" w:color="008080"/>
              <w:left w:val="single" w:sz="4" w:space="0" w:color="008080"/>
              <w:bottom w:val="single" w:sz="4" w:space="0" w:color="008080"/>
              <w:right w:val="single" w:sz="4" w:space="0" w:color="008080"/>
            </w:tcBorders>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149.4</w:t>
            </w:r>
          </w:p>
        </w:tc>
      </w:tr>
      <w:tr w:rsidR="00D66945" w:rsidRPr="007828C4" w:rsidTr="00A33453">
        <w:trPr>
          <w:trHeight w:val="431"/>
        </w:trPr>
        <w:tc>
          <w:tcPr>
            <w:tcW w:w="455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Total financial liabilities</w:t>
            </w:r>
          </w:p>
        </w:tc>
        <w:tc>
          <w:tcPr>
            <w:tcW w:w="182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843"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701" w:type="dxa"/>
            <w:tcBorders>
              <w:top w:val="single" w:sz="4" w:space="0" w:color="008080"/>
              <w:left w:val="single" w:sz="4" w:space="0" w:color="008080"/>
              <w:bottom w:val="single" w:sz="4" w:space="0" w:color="008080"/>
              <w:right w:val="single" w:sz="4" w:space="0" w:color="008080"/>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149.4</w:t>
            </w:r>
          </w:p>
        </w:tc>
      </w:tr>
    </w:tbl>
    <w:p w:rsidR="00D66945" w:rsidRPr="007828C4" w:rsidRDefault="00D66945" w:rsidP="00D66945">
      <w:pPr>
        <w:contextualSpacing/>
        <w:rPr>
          <w:rFonts w:eastAsia="Arial Unicode MS" w:cs="Arial"/>
          <w:sz w:val="22"/>
          <w:szCs w:val="22"/>
        </w:rPr>
      </w:pPr>
    </w:p>
    <w:tbl>
      <w:tblPr>
        <w:tblStyle w:val="TableGrid12"/>
        <w:tblW w:w="9918"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4551"/>
        <w:gridCol w:w="1823"/>
        <w:gridCol w:w="1843"/>
        <w:gridCol w:w="1701"/>
      </w:tblGrid>
      <w:tr w:rsidR="00D66945" w:rsidRPr="007828C4" w:rsidTr="00A33453">
        <w:trPr>
          <w:trHeight w:val="431"/>
        </w:trPr>
        <w:tc>
          <w:tcPr>
            <w:tcW w:w="4551" w:type="dxa"/>
            <w:tcBorders>
              <w:bottom w:val="nil"/>
            </w:tcBorders>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7</w:t>
            </w:r>
          </w:p>
        </w:tc>
        <w:tc>
          <w:tcPr>
            <w:tcW w:w="1823"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Fair value through profit or loss</w:t>
            </w:r>
          </w:p>
        </w:tc>
        <w:tc>
          <w:tcPr>
            <w:tcW w:w="1843"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 xml:space="preserve">Loans </w:t>
            </w: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 xml:space="preserve">and </w:t>
            </w: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receivables</w:t>
            </w:r>
          </w:p>
        </w:tc>
        <w:tc>
          <w:tcPr>
            <w:tcW w:w="1701"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Financial liabilities at amortised cost</w:t>
            </w:r>
          </w:p>
        </w:tc>
      </w:tr>
      <w:tr w:rsidR="00D66945" w:rsidRPr="007828C4" w:rsidTr="00A33453">
        <w:trPr>
          <w:trHeight w:val="431"/>
        </w:trPr>
        <w:tc>
          <w:tcPr>
            <w:tcW w:w="4551"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1823"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843"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70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4551"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Financial assets</w:t>
            </w:r>
          </w:p>
        </w:tc>
        <w:tc>
          <w:tcPr>
            <w:tcW w:w="1823" w:type="dxa"/>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1843" w:type="dxa"/>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1701" w:type="dxa"/>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Fixed interest securities</w:t>
            </w:r>
          </w:p>
        </w:tc>
        <w:tc>
          <w:tcPr>
            <w:tcW w:w="1823"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132.2</w:t>
            </w:r>
          </w:p>
        </w:tc>
        <w:tc>
          <w:tcPr>
            <w:tcW w:w="1843" w:type="dxa"/>
          </w:tcPr>
          <w:p w:rsidR="00D66945" w:rsidRPr="007828C4" w:rsidRDefault="00D66945" w:rsidP="00A33453">
            <w:pPr>
              <w:tabs>
                <w:tab w:val="left" w:pos="1080"/>
              </w:tabs>
              <w:jc w:val="right"/>
              <w:rPr>
                <w:rFonts w:eastAsia="Arial Unicode MS" w:cs="Arial"/>
                <w:sz w:val="20"/>
                <w:szCs w:val="20"/>
              </w:rPr>
            </w:pPr>
          </w:p>
        </w:tc>
        <w:tc>
          <w:tcPr>
            <w:tcW w:w="1701" w:type="dxa"/>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Equities</w:t>
            </w:r>
          </w:p>
        </w:tc>
        <w:tc>
          <w:tcPr>
            <w:tcW w:w="1823" w:type="dxa"/>
          </w:tcPr>
          <w:p w:rsidR="00D66945" w:rsidRPr="007828C4" w:rsidRDefault="00D66945" w:rsidP="00A33453">
            <w:pPr>
              <w:tabs>
                <w:tab w:val="left" w:pos="1080"/>
              </w:tabs>
              <w:jc w:val="right"/>
              <w:rPr>
                <w:rFonts w:eastAsia="Arial Unicode MS" w:cs="Arial"/>
                <w:sz w:val="20"/>
                <w:szCs w:val="20"/>
              </w:rPr>
            </w:pPr>
          </w:p>
        </w:tc>
        <w:tc>
          <w:tcPr>
            <w:tcW w:w="1843" w:type="dxa"/>
          </w:tcPr>
          <w:p w:rsidR="00D66945" w:rsidRPr="007828C4" w:rsidRDefault="00D66945" w:rsidP="00A33453">
            <w:pPr>
              <w:tabs>
                <w:tab w:val="left" w:pos="1080"/>
              </w:tabs>
              <w:jc w:val="right"/>
              <w:rPr>
                <w:rFonts w:eastAsia="Arial Unicode MS" w:cs="Arial"/>
                <w:sz w:val="20"/>
                <w:szCs w:val="20"/>
              </w:rPr>
            </w:pPr>
          </w:p>
        </w:tc>
        <w:tc>
          <w:tcPr>
            <w:tcW w:w="1701" w:type="dxa"/>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Index linked securities</w:t>
            </w:r>
          </w:p>
        </w:tc>
        <w:tc>
          <w:tcPr>
            <w:tcW w:w="1823"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127.1</w:t>
            </w:r>
          </w:p>
        </w:tc>
        <w:tc>
          <w:tcPr>
            <w:tcW w:w="1843" w:type="dxa"/>
          </w:tcPr>
          <w:p w:rsidR="00D66945" w:rsidRPr="007828C4" w:rsidRDefault="00D66945" w:rsidP="00A33453">
            <w:pPr>
              <w:tabs>
                <w:tab w:val="left" w:pos="1080"/>
              </w:tabs>
              <w:jc w:val="right"/>
              <w:rPr>
                <w:rFonts w:eastAsia="Arial Unicode MS" w:cs="Arial"/>
                <w:sz w:val="20"/>
                <w:szCs w:val="20"/>
              </w:rPr>
            </w:pPr>
          </w:p>
        </w:tc>
        <w:tc>
          <w:tcPr>
            <w:tcW w:w="1701" w:type="dxa"/>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Pooled investment vehicles</w:t>
            </w:r>
          </w:p>
        </w:tc>
        <w:tc>
          <w:tcPr>
            <w:tcW w:w="1823"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6,136.8</w:t>
            </w:r>
          </w:p>
        </w:tc>
        <w:tc>
          <w:tcPr>
            <w:tcW w:w="1843" w:type="dxa"/>
          </w:tcPr>
          <w:p w:rsidR="00D66945" w:rsidRPr="007828C4" w:rsidRDefault="00D66945" w:rsidP="00A33453">
            <w:pPr>
              <w:tabs>
                <w:tab w:val="left" w:pos="1080"/>
              </w:tabs>
              <w:jc w:val="right"/>
              <w:rPr>
                <w:rFonts w:eastAsia="Arial Unicode MS" w:cs="Arial"/>
                <w:sz w:val="20"/>
                <w:szCs w:val="20"/>
              </w:rPr>
            </w:pPr>
          </w:p>
        </w:tc>
        <w:tc>
          <w:tcPr>
            <w:tcW w:w="1701" w:type="dxa"/>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Pr>
                <w:rFonts w:eastAsia="Arial Unicode MS" w:cs="Arial"/>
                <w:sz w:val="20"/>
                <w:szCs w:val="20"/>
              </w:rPr>
              <w:t>Pooled property investments</w:t>
            </w:r>
          </w:p>
        </w:tc>
        <w:tc>
          <w:tcPr>
            <w:tcW w:w="1823"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99.4</w:t>
            </w:r>
          </w:p>
        </w:tc>
        <w:tc>
          <w:tcPr>
            <w:tcW w:w="1843" w:type="dxa"/>
          </w:tcPr>
          <w:p w:rsidR="00D66945" w:rsidRPr="007828C4" w:rsidRDefault="00D66945" w:rsidP="00A33453">
            <w:pPr>
              <w:tabs>
                <w:tab w:val="left" w:pos="1080"/>
              </w:tabs>
              <w:jc w:val="right"/>
              <w:rPr>
                <w:rFonts w:eastAsia="Arial Unicode MS" w:cs="Arial"/>
                <w:sz w:val="20"/>
                <w:szCs w:val="20"/>
              </w:rPr>
            </w:pPr>
          </w:p>
        </w:tc>
        <w:tc>
          <w:tcPr>
            <w:tcW w:w="1701" w:type="dxa"/>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Cash deposits</w:t>
            </w:r>
          </w:p>
        </w:tc>
        <w:tc>
          <w:tcPr>
            <w:tcW w:w="1823" w:type="dxa"/>
          </w:tcPr>
          <w:p w:rsidR="00D66945" w:rsidRPr="007828C4" w:rsidRDefault="00D66945" w:rsidP="00A33453">
            <w:pPr>
              <w:tabs>
                <w:tab w:val="left" w:pos="1080"/>
              </w:tabs>
              <w:jc w:val="right"/>
              <w:rPr>
                <w:rFonts w:eastAsia="Arial Unicode MS" w:cs="Arial"/>
                <w:sz w:val="20"/>
                <w:szCs w:val="20"/>
              </w:rPr>
            </w:pPr>
          </w:p>
        </w:tc>
        <w:tc>
          <w:tcPr>
            <w:tcW w:w="1843"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56.3</w:t>
            </w:r>
          </w:p>
        </w:tc>
        <w:tc>
          <w:tcPr>
            <w:tcW w:w="1701" w:type="dxa"/>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Investment accruals</w:t>
            </w:r>
          </w:p>
        </w:tc>
        <w:tc>
          <w:tcPr>
            <w:tcW w:w="1823"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2.6</w:t>
            </w:r>
          </w:p>
        </w:tc>
        <w:tc>
          <w:tcPr>
            <w:tcW w:w="1843" w:type="dxa"/>
          </w:tcPr>
          <w:p w:rsidR="00D66945" w:rsidRPr="007828C4" w:rsidRDefault="00D66945" w:rsidP="00A33453">
            <w:pPr>
              <w:tabs>
                <w:tab w:val="left" w:pos="1080"/>
              </w:tabs>
              <w:jc w:val="right"/>
              <w:rPr>
                <w:rFonts w:eastAsia="Arial Unicode MS" w:cs="Arial"/>
                <w:sz w:val="20"/>
                <w:szCs w:val="20"/>
              </w:rPr>
            </w:pPr>
          </w:p>
        </w:tc>
        <w:tc>
          <w:tcPr>
            <w:tcW w:w="1701" w:type="dxa"/>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Debtors</w:t>
            </w:r>
          </w:p>
        </w:tc>
        <w:tc>
          <w:tcPr>
            <w:tcW w:w="1823" w:type="dxa"/>
          </w:tcPr>
          <w:p w:rsidR="00D66945" w:rsidRPr="007828C4" w:rsidRDefault="00D66945" w:rsidP="00A33453">
            <w:pPr>
              <w:tabs>
                <w:tab w:val="left" w:pos="1080"/>
              </w:tabs>
              <w:jc w:val="right"/>
              <w:rPr>
                <w:rFonts w:eastAsia="Arial Unicode MS" w:cs="Arial"/>
                <w:sz w:val="20"/>
                <w:szCs w:val="20"/>
              </w:rPr>
            </w:pPr>
          </w:p>
        </w:tc>
        <w:tc>
          <w:tcPr>
            <w:tcW w:w="1843"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30.7</w:t>
            </w:r>
          </w:p>
        </w:tc>
        <w:tc>
          <w:tcPr>
            <w:tcW w:w="1701" w:type="dxa"/>
          </w:tcPr>
          <w:p w:rsidR="00D66945" w:rsidRPr="007828C4" w:rsidRDefault="00D66945" w:rsidP="00A33453">
            <w:pPr>
              <w:tabs>
                <w:tab w:val="left" w:pos="1080"/>
              </w:tabs>
              <w:jc w:val="right"/>
              <w:rPr>
                <w:rFonts w:eastAsia="Arial Unicode MS" w:cs="Arial"/>
                <w:sz w:val="20"/>
                <w:szCs w:val="20"/>
              </w:rPr>
            </w:pPr>
          </w:p>
        </w:tc>
      </w:tr>
      <w:tr w:rsidR="00D66945" w:rsidRPr="007828C4" w:rsidTr="00A33453">
        <w:trPr>
          <w:trHeight w:val="431"/>
        </w:trPr>
        <w:tc>
          <w:tcPr>
            <w:tcW w:w="4551"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Total financial assets</w:t>
            </w:r>
          </w:p>
        </w:tc>
        <w:tc>
          <w:tcPr>
            <w:tcW w:w="1823"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6,498.1</w:t>
            </w:r>
          </w:p>
        </w:tc>
        <w:tc>
          <w:tcPr>
            <w:tcW w:w="1843"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87.0</w:t>
            </w:r>
          </w:p>
        </w:tc>
        <w:tc>
          <w:tcPr>
            <w:tcW w:w="1701"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r>
      <w:tr w:rsidR="00D66945" w:rsidRPr="007828C4" w:rsidTr="00A33453">
        <w:trPr>
          <w:trHeight w:val="431"/>
        </w:trPr>
        <w:tc>
          <w:tcPr>
            <w:tcW w:w="4551"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Financial liabilities</w:t>
            </w:r>
          </w:p>
        </w:tc>
        <w:tc>
          <w:tcPr>
            <w:tcW w:w="1823"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843"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701"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r>
      <w:tr w:rsidR="00D66945" w:rsidRPr="007828C4" w:rsidTr="00A33453">
        <w:trPr>
          <w:trHeight w:val="431"/>
        </w:trPr>
        <w:tc>
          <w:tcPr>
            <w:tcW w:w="4551"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Creditors</w:t>
            </w:r>
          </w:p>
        </w:tc>
        <w:tc>
          <w:tcPr>
            <w:tcW w:w="1823" w:type="dxa"/>
          </w:tcPr>
          <w:p w:rsidR="00D66945" w:rsidRPr="007828C4" w:rsidRDefault="00D66945" w:rsidP="00A33453">
            <w:pPr>
              <w:tabs>
                <w:tab w:val="left" w:pos="1080"/>
              </w:tabs>
              <w:jc w:val="right"/>
              <w:rPr>
                <w:rFonts w:eastAsia="Arial Unicode MS" w:cs="Arial"/>
                <w:sz w:val="20"/>
                <w:szCs w:val="20"/>
              </w:rPr>
            </w:pPr>
          </w:p>
        </w:tc>
        <w:tc>
          <w:tcPr>
            <w:tcW w:w="1843" w:type="dxa"/>
          </w:tcPr>
          <w:p w:rsidR="00D66945" w:rsidRPr="007828C4" w:rsidRDefault="00D66945" w:rsidP="00A33453">
            <w:pPr>
              <w:tabs>
                <w:tab w:val="left" w:pos="1080"/>
              </w:tabs>
              <w:jc w:val="right"/>
              <w:rPr>
                <w:rFonts w:eastAsia="Arial Unicode MS" w:cs="Arial"/>
                <w:sz w:val="20"/>
                <w:szCs w:val="20"/>
              </w:rPr>
            </w:pPr>
          </w:p>
        </w:tc>
        <w:tc>
          <w:tcPr>
            <w:tcW w:w="1701"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12.8</w:t>
            </w:r>
          </w:p>
        </w:tc>
      </w:tr>
      <w:tr w:rsidR="00D66945" w:rsidRPr="007828C4" w:rsidTr="00A33453">
        <w:trPr>
          <w:trHeight w:val="431"/>
        </w:trPr>
        <w:tc>
          <w:tcPr>
            <w:tcW w:w="4551"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Total financial liabilities</w:t>
            </w:r>
          </w:p>
        </w:tc>
        <w:tc>
          <w:tcPr>
            <w:tcW w:w="1823"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843"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701"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12.8</w:t>
            </w:r>
          </w:p>
        </w:tc>
      </w:tr>
    </w:tbl>
    <w:p w:rsidR="00D66945" w:rsidRPr="007828C4" w:rsidRDefault="00D66945" w:rsidP="00D66945">
      <w:pPr>
        <w:contextualSpacing/>
        <w:rPr>
          <w:rFonts w:eastAsia="Arial Unicode MS" w:cs="Arial"/>
          <w:sz w:val="22"/>
          <w:szCs w:val="22"/>
        </w:rPr>
      </w:pPr>
    </w:p>
    <w:p w:rsidR="00F40296" w:rsidRDefault="00F40296" w:rsidP="00D66945">
      <w:pPr>
        <w:contextualSpacing/>
        <w:rPr>
          <w:rFonts w:eastAsia="Arial Unicode MS" w:cs="Arial"/>
          <w:b/>
          <w:bCs/>
          <w:sz w:val="32"/>
          <w:szCs w:val="22"/>
        </w:rPr>
      </w:pPr>
    </w:p>
    <w:p w:rsidR="00D66945" w:rsidRPr="007828C4" w:rsidRDefault="00D66945" w:rsidP="00D66945">
      <w:pPr>
        <w:contextualSpacing/>
        <w:rPr>
          <w:rFonts w:eastAsia="Arial Unicode MS" w:cs="Arial"/>
          <w:b/>
          <w:bCs/>
          <w:sz w:val="32"/>
          <w:szCs w:val="22"/>
        </w:rPr>
      </w:pPr>
      <w:r w:rsidRPr="007828C4">
        <w:rPr>
          <w:rFonts w:eastAsia="Arial Unicode MS" w:cs="Arial"/>
          <w:b/>
          <w:bCs/>
          <w:sz w:val="32"/>
          <w:szCs w:val="22"/>
        </w:rPr>
        <w:t>1</w:t>
      </w:r>
      <w:r>
        <w:rPr>
          <w:rFonts w:eastAsia="Arial Unicode MS" w:cs="Arial"/>
          <w:b/>
          <w:bCs/>
          <w:sz w:val="32"/>
          <w:szCs w:val="22"/>
        </w:rPr>
        <w:t>5</w:t>
      </w:r>
      <w:r w:rsidRPr="007828C4">
        <w:rPr>
          <w:rFonts w:eastAsia="Arial Unicode MS" w:cs="Arial"/>
          <w:b/>
          <w:bCs/>
          <w:sz w:val="32"/>
          <w:szCs w:val="22"/>
        </w:rPr>
        <w:t>. NET GAINS AND LOSSES ON FINANCIAL INSTRUMENTS</w:t>
      </w:r>
    </w:p>
    <w:p w:rsidR="00D66945" w:rsidRPr="007828C4" w:rsidRDefault="00D66945" w:rsidP="00D66945">
      <w:pPr>
        <w:ind w:left="862"/>
        <w:rPr>
          <w:rFonts w:eastAsia="Arial Unicode MS" w:cs="Arial"/>
          <w:b/>
          <w:bCs/>
          <w:sz w:val="22"/>
          <w:szCs w:val="22"/>
        </w:rPr>
      </w:pPr>
    </w:p>
    <w:p w:rsidR="00D66945" w:rsidRPr="007828C4" w:rsidRDefault="00D66945" w:rsidP="00D66945">
      <w:pPr>
        <w:rPr>
          <w:rFonts w:eastAsia="Arial Unicode MS" w:cs="Arial"/>
          <w:bCs/>
          <w:sz w:val="22"/>
          <w:szCs w:val="22"/>
        </w:rPr>
      </w:pPr>
      <w:r w:rsidRPr="007828C4">
        <w:rPr>
          <w:rFonts w:eastAsia="Arial Unicode MS" w:cs="Arial"/>
          <w:bCs/>
          <w:sz w:val="22"/>
          <w:szCs w:val="22"/>
        </w:rPr>
        <w:t xml:space="preserve">The net gain on financial assets at fair value through profit and loss was </w:t>
      </w:r>
      <w:r w:rsidRPr="00FB63AB">
        <w:rPr>
          <w:rFonts w:eastAsia="Arial Unicode MS" w:cs="Arial"/>
          <w:bCs/>
          <w:sz w:val="22"/>
          <w:szCs w:val="22"/>
        </w:rPr>
        <w:t>£</w:t>
      </w:r>
      <w:r>
        <w:rPr>
          <w:rFonts w:eastAsia="Arial Unicode MS" w:cs="Arial"/>
          <w:bCs/>
          <w:sz w:val="22"/>
          <w:szCs w:val="22"/>
        </w:rPr>
        <w:t>221.9m</w:t>
      </w:r>
      <w:r w:rsidRPr="007828C4">
        <w:rPr>
          <w:rFonts w:eastAsia="Arial Unicode MS" w:cs="Arial"/>
          <w:bCs/>
          <w:sz w:val="22"/>
          <w:szCs w:val="22"/>
        </w:rPr>
        <w:t xml:space="preserve"> (</w:t>
      </w:r>
      <w:r>
        <w:rPr>
          <w:rFonts w:eastAsia="Arial Unicode MS" w:cs="Arial"/>
          <w:bCs/>
          <w:sz w:val="22"/>
          <w:szCs w:val="22"/>
        </w:rPr>
        <w:t>2016/17</w:t>
      </w:r>
      <w:r w:rsidRPr="007828C4">
        <w:rPr>
          <w:rFonts w:eastAsia="Arial Unicode MS" w:cs="Arial"/>
          <w:bCs/>
          <w:sz w:val="22"/>
          <w:szCs w:val="22"/>
        </w:rPr>
        <w:t xml:space="preserve">: </w:t>
      </w:r>
      <w:r w:rsidRPr="00B70159">
        <w:rPr>
          <w:rFonts w:eastAsia="Arial Unicode MS" w:cs="Arial"/>
          <w:bCs/>
          <w:sz w:val="22"/>
          <w:szCs w:val="22"/>
        </w:rPr>
        <w:t>£1,</w:t>
      </w:r>
      <w:r>
        <w:rPr>
          <w:rFonts w:eastAsia="Arial Unicode MS" w:cs="Arial"/>
          <w:bCs/>
          <w:sz w:val="22"/>
          <w:szCs w:val="22"/>
        </w:rPr>
        <w:t>154.0m</w:t>
      </w:r>
      <w:r w:rsidRPr="007828C4">
        <w:rPr>
          <w:rFonts w:eastAsia="Arial Unicode MS" w:cs="Arial"/>
          <w:bCs/>
          <w:sz w:val="22"/>
          <w:szCs w:val="22"/>
        </w:rPr>
        <w:t xml:space="preserve"> after adjusting for directly owned property).</w:t>
      </w:r>
    </w:p>
    <w:p w:rsidR="00D66945" w:rsidRDefault="00D66945" w:rsidP="00D66945">
      <w:pPr>
        <w:ind w:left="709"/>
        <w:rPr>
          <w:rFonts w:eastAsia="Arial Unicode MS" w:cs="Arial"/>
          <w:b/>
          <w:bCs/>
          <w:sz w:val="22"/>
          <w:szCs w:val="22"/>
        </w:rPr>
      </w:pPr>
    </w:p>
    <w:p w:rsidR="00F40296" w:rsidRPr="007828C4" w:rsidRDefault="00F40296" w:rsidP="00D66945">
      <w:pPr>
        <w:ind w:left="709"/>
        <w:rPr>
          <w:rFonts w:eastAsia="Arial Unicode MS" w:cs="Arial"/>
          <w:b/>
          <w:bCs/>
          <w:sz w:val="22"/>
          <w:szCs w:val="22"/>
        </w:rPr>
      </w:pPr>
    </w:p>
    <w:p w:rsidR="00F40296" w:rsidRDefault="00F40296" w:rsidP="00D66945">
      <w:pPr>
        <w:contextualSpacing/>
        <w:rPr>
          <w:rFonts w:eastAsia="Arial Unicode MS" w:cs="Arial"/>
          <w:b/>
          <w:sz w:val="32"/>
          <w:szCs w:val="22"/>
        </w:rPr>
      </w:pPr>
    </w:p>
    <w:p w:rsidR="00F40296" w:rsidRDefault="00F40296" w:rsidP="00D66945">
      <w:pPr>
        <w:contextualSpacing/>
        <w:rPr>
          <w:rFonts w:eastAsia="Arial Unicode MS" w:cs="Arial"/>
          <w:b/>
          <w:sz w:val="32"/>
          <w:szCs w:val="22"/>
        </w:rPr>
      </w:pPr>
    </w:p>
    <w:p w:rsidR="00F40296" w:rsidRDefault="00F40296" w:rsidP="00D66945">
      <w:pPr>
        <w:contextualSpacing/>
        <w:rPr>
          <w:rFonts w:eastAsia="Arial Unicode MS" w:cs="Arial"/>
          <w:b/>
          <w:sz w:val="32"/>
          <w:szCs w:val="22"/>
        </w:rPr>
      </w:pPr>
    </w:p>
    <w:p w:rsidR="00F40296" w:rsidRDefault="00F40296" w:rsidP="00D66945">
      <w:pPr>
        <w:contextualSpacing/>
        <w:rPr>
          <w:rFonts w:eastAsia="Arial Unicode MS" w:cs="Arial"/>
          <w:b/>
          <w:sz w:val="32"/>
          <w:szCs w:val="22"/>
        </w:rPr>
      </w:pPr>
    </w:p>
    <w:p w:rsidR="00F40296" w:rsidRDefault="00F40296" w:rsidP="00D66945">
      <w:pPr>
        <w:contextualSpacing/>
        <w:rPr>
          <w:rFonts w:eastAsia="Arial Unicode MS" w:cs="Arial"/>
          <w:b/>
          <w:sz w:val="32"/>
          <w:szCs w:val="22"/>
        </w:rPr>
      </w:pPr>
    </w:p>
    <w:p w:rsidR="0056402A" w:rsidRDefault="0056402A" w:rsidP="00D66945">
      <w:pPr>
        <w:contextualSpacing/>
        <w:rPr>
          <w:rFonts w:eastAsia="Arial Unicode MS" w:cs="Arial"/>
          <w:b/>
          <w:sz w:val="32"/>
          <w:szCs w:val="22"/>
        </w:rPr>
      </w:pPr>
    </w:p>
    <w:p w:rsidR="00F40296" w:rsidRDefault="00F40296" w:rsidP="00D66945">
      <w:pPr>
        <w:contextualSpacing/>
        <w:rPr>
          <w:rFonts w:eastAsia="Arial Unicode MS" w:cs="Arial"/>
          <w:b/>
          <w:sz w:val="32"/>
          <w:szCs w:val="22"/>
        </w:rPr>
      </w:pPr>
    </w:p>
    <w:p w:rsidR="00F40296" w:rsidRDefault="00F40296" w:rsidP="00D66945">
      <w:pPr>
        <w:contextualSpacing/>
        <w:rPr>
          <w:rFonts w:eastAsia="Arial Unicode MS" w:cs="Arial"/>
          <w:b/>
          <w:sz w:val="32"/>
          <w:szCs w:val="22"/>
        </w:rPr>
      </w:pPr>
    </w:p>
    <w:p w:rsidR="00F40296" w:rsidRDefault="00F40296" w:rsidP="00D66945">
      <w:pPr>
        <w:contextualSpacing/>
        <w:rPr>
          <w:rFonts w:eastAsia="Arial Unicode MS" w:cs="Arial"/>
          <w:b/>
          <w:sz w:val="32"/>
          <w:szCs w:val="22"/>
        </w:rPr>
      </w:pPr>
    </w:p>
    <w:p w:rsidR="00D66945" w:rsidRPr="007828C4" w:rsidRDefault="00D66945" w:rsidP="00D66945">
      <w:pPr>
        <w:contextualSpacing/>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6</w:t>
      </w:r>
      <w:r w:rsidRPr="007828C4">
        <w:rPr>
          <w:rFonts w:eastAsia="Arial Unicode MS" w:cs="Arial"/>
          <w:b/>
          <w:sz w:val="32"/>
          <w:szCs w:val="22"/>
        </w:rPr>
        <w:t>. FINANCIAL INSTRUMENTS – FAIR VALUE HIERARCHY</w:t>
      </w:r>
    </w:p>
    <w:p w:rsidR="00D66945" w:rsidRPr="007828C4" w:rsidRDefault="00D66945" w:rsidP="00D66945">
      <w:pPr>
        <w:ind w:left="720"/>
        <w:contextualSpacing/>
        <w:rPr>
          <w:rFonts w:eastAsia="Arial Unicode MS" w:cs="Arial"/>
          <w:b/>
          <w:szCs w:val="22"/>
        </w:rPr>
      </w:pPr>
    </w:p>
    <w:p w:rsidR="00D66945" w:rsidRPr="007828C4" w:rsidRDefault="00D66945" w:rsidP="00D66945">
      <w:pPr>
        <w:ind w:left="720" w:hanging="720"/>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6</w:t>
      </w:r>
      <w:r w:rsidRPr="007828C4">
        <w:rPr>
          <w:rFonts w:eastAsia="Arial Unicode MS" w:cs="Arial"/>
          <w:b/>
          <w:sz w:val="32"/>
          <w:szCs w:val="22"/>
        </w:rPr>
        <w:t>.1 Valuation of financial instruments carried at fair value</w:t>
      </w:r>
    </w:p>
    <w:p w:rsidR="00D66945" w:rsidRPr="007828C4" w:rsidRDefault="00D66945" w:rsidP="00D66945">
      <w:pPr>
        <w:ind w:left="720"/>
        <w:rPr>
          <w:rFonts w:eastAsia="Arial Unicode MS" w:cs="Arial"/>
          <w:b/>
          <w:sz w:val="22"/>
          <w:szCs w:val="22"/>
        </w:rPr>
      </w:pPr>
    </w:p>
    <w:p w:rsidR="00D66945" w:rsidRDefault="00D66945" w:rsidP="00D66945">
      <w:pPr>
        <w:rPr>
          <w:rFonts w:eastAsia="Arial Unicode MS" w:cs="Arial"/>
          <w:sz w:val="22"/>
          <w:szCs w:val="22"/>
        </w:rPr>
      </w:pPr>
      <w:r w:rsidRPr="007828C4">
        <w:rPr>
          <w:rFonts w:eastAsia="Arial Unicode MS" w:cs="Arial"/>
          <w:sz w:val="22"/>
          <w:szCs w:val="22"/>
        </w:rPr>
        <w:t>The valuation of financial instruments has been classified into three levels according to the quality and reliability of information used to determine fair values.  Transfers between levels are recognised in the year in which they occur.</w:t>
      </w:r>
    </w:p>
    <w:p w:rsidR="00D66945" w:rsidRPr="007828C4" w:rsidRDefault="00D66945" w:rsidP="00D66945">
      <w:pPr>
        <w:ind w:left="720"/>
        <w:rPr>
          <w:rFonts w:eastAsia="Arial Unicode MS" w:cs="Arial"/>
          <w:sz w:val="22"/>
          <w:szCs w:val="22"/>
        </w:rPr>
      </w:pPr>
      <w:r w:rsidRPr="007828C4">
        <w:rPr>
          <w:rFonts w:eastAsia="Arial Unicode MS" w:cs="Arial"/>
          <w:sz w:val="22"/>
          <w:szCs w:val="22"/>
        </w:rPr>
        <w:t xml:space="preserve"> </w:t>
      </w:r>
    </w:p>
    <w:p w:rsidR="00D66945" w:rsidRPr="007828C4" w:rsidRDefault="00D66945" w:rsidP="00D66945">
      <w:pPr>
        <w:ind w:left="720" w:hanging="720"/>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6</w:t>
      </w:r>
      <w:r w:rsidRPr="007828C4">
        <w:rPr>
          <w:rFonts w:eastAsia="Arial Unicode MS" w:cs="Arial"/>
          <w:b/>
          <w:sz w:val="32"/>
          <w:szCs w:val="22"/>
        </w:rPr>
        <w:t>.1.1 Level 1</w:t>
      </w:r>
    </w:p>
    <w:p w:rsidR="00D66945" w:rsidRPr="007828C4" w:rsidRDefault="00D66945" w:rsidP="00D66945">
      <w:pPr>
        <w:rPr>
          <w:rFonts w:eastAsia="Arial Unicode MS" w:cs="Arial"/>
          <w:sz w:val="22"/>
          <w:szCs w:val="22"/>
        </w:rPr>
      </w:pPr>
      <w:r w:rsidRPr="007828C4">
        <w:rPr>
          <w:rFonts w:eastAsia="Arial Unicode MS" w:cs="Arial"/>
          <w:sz w:val="22"/>
          <w:szCs w:val="22"/>
        </w:rPr>
        <w:t>Level 1 fair value measurements are those derived from unadjusted quoted prices in active markets for identical assets or liabilities.  Examples include quoted equity investments</w:t>
      </w:r>
      <w:r w:rsidRPr="00E344AA">
        <w:rPr>
          <w:rFonts w:eastAsia="Arial Unicode MS" w:cs="Arial"/>
          <w:sz w:val="22"/>
          <w:szCs w:val="22"/>
        </w:rPr>
        <w:t>, including those held in the LPPI Global Equity Fund,</w:t>
      </w:r>
      <w:r w:rsidRPr="007828C4">
        <w:rPr>
          <w:rFonts w:eastAsia="Arial Unicode MS" w:cs="Arial"/>
          <w:sz w:val="22"/>
          <w:szCs w:val="22"/>
        </w:rPr>
        <w:t xml:space="preserve"> unit trusts, UK pooled fixed income funds, overseas pooled fixed income funds, UK and overseas quoted fixed interest securities.  Listed investments are shown at bid prices.  The bid value of the investment is based on the bid market quotation of the relevant stock exchange.</w:t>
      </w:r>
    </w:p>
    <w:p w:rsidR="00D66945" w:rsidRPr="007828C4" w:rsidRDefault="00D66945" w:rsidP="00D66945">
      <w:pPr>
        <w:ind w:left="720"/>
        <w:rPr>
          <w:rFonts w:eastAsia="Arial Unicode MS" w:cs="Arial"/>
          <w:b/>
          <w:sz w:val="22"/>
          <w:szCs w:val="22"/>
        </w:rPr>
      </w:pPr>
    </w:p>
    <w:p w:rsidR="00D66945" w:rsidRPr="007828C4" w:rsidRDefault="00D66945" w:rsidP="00D66945">
      <w:pPr>
        <w:ind w:left="720" w:hanging="720"/>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6</w:t>
      </w:r>
      <w:r w:rsidRPr="007828C4">
        <w:rPr>
          <w:rFonts w:eastAsia="Arial Unicode MS" w:cs="Arial"/>
          <w:b/>
          <w:sz w:val="32"/>
          <w:szCs w:val="22"/>
        </w:rPr>
        <w:t>.1.2 Level 2</w:t>
      </w:r>
    </w:p>
    <w:p w:rsidR="00D66945" w:rsidRPr="007828C4" w:rsidRDefault="00D66945" w:rsidP="00D66945">
      <w:pPr>
        <w:rPr>
          <w:rFonts w:eastAsia="Arial Unicode MS" w:cs="Arial"/>
          <w:sz w:val="22"/>
          <w:szCs w:val="22"/>
        </w:rPr>
      </w:pPr>
      <w:r w:rsidRPr="007828C4">
        <w:rPr>
          <w:rFonts w:eastAsia="Arial Unicode MS" w:cs="Arial"/>
          <w:sz w:val="22"/>
          <w:szCs w:val="22"/>
        </w:rPr>
        <w:t>Level 2 investments are those where quoted market prices are not available, for example where an instrument is traded in a market that is not considered to be active or valuation techniques are used to determine fair value and where these techniques use inputs that are based significantly on observable market data. Such instruments include bonds secured on affordable housing assets.  The technique for valuing these assets is independently verified.</w:t>
      </w:r>
    </w:p>
    <w:p w:rsidR="00D66945" w:rsidRPr="007828C4" w:rsidRDefault="00D66945" w:rsidP="00D66945">
      <w:pPr>
        <w:rPr>
          <w:rFonts w:eastAsia="Arial Unicode MS" w:cs="Arial"/>
          <w:sz w:val="22"/>
          <w:szCs w:val="22"/>
        </w:rPr>
      </w:pPr>
      <w:r w:rsidRPr="007828C4">
        <w:rPr>
          <w:rFonts w:eastAsia="Arial Unicode MS" w:cs="Arial"/>
          <w:sz w:val="22"/>
          <w:szCs w:val="22"/>
        </w:rPr>
        <w:t>The bonds secured on affordable housing assets are based on long term expectations of interest rates, inflation and credit spreads in the housing association sector.</w:t>
      </w:r>
    </w:p>
    <w:p w:rsidR="00D66945" w:rsidRPr="007828C4" w:rsidRDefault="00D66945" w:rsidP="00D66945">
      <w:pPr>
        <w:ind w:left="720"/>
        <w:rPr>
          <w:rFonts w:eastAsia="Arial Unicode MS" w:cs="Arial"/>
          <w:sz w:val="22"/>
          <w:szCs w:val="22"/>
        </w:rPr>
      </w:pPr>
    </w:p>
    <w:p w:rsidR="00D66945" w:rsidRPr="007828C4"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6</w:t>
      </w:r>
      <w:r w:rsidRPr="007828C4">
        <w:rPr>
          <w:rFonts w:eastAsia="Arial Unicode MS" w:cs="Arial"/>
          <w:b/>
          <w:sz w:val="32"/>
          <w:szCs w:val="22"/>
        </w:rPr>
        <w:t>.1.3 Level 3</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Level 3 portfolios are those where at least one input which could have a significant effect on the instrument's valuation is not based on observable market data.  </w:t>
      </w:r>
      <w:r w:rsidRPr="00E344AA">
        <w:rPr>
          <w:rFonts w:eastAsia="Arial Unicode MS" w:cs="Arial"/>
          <w:sz w:val="22"/>
          <w:szCs w:val="22"/>
        </w:rPr>
        <w:t>Such instruments include overseas quoted fixed income investments</w:t>
      </w:r>
      <w:r w:rsidRPr="007828C4">
        <w:rPr>
          <w:rFonts w:eastAsia="Arial Unicode MS" w:cs="Arial"/>
          <w:sz w:val="22"/>
          <w:szCs w:val="22"/>
        </w:rPr>
        <w:t>, pooled UK fixed income investments, private equity, infrastructure and indirect overseas property investments, which are valued using various valuation techniques that require significant management judgement in determining appropriate assumptions, including earnings, public market comparatives and estimated future cash flows.</w:t>
      </w:r>
    </w:p>
    <w:p w:rsidR="00D66945" w:rsidRPr="007828C4" w:rsidRDefault="00D66945" w:rsidP="00D66945">
      <w:pPr>
        <w:rPr>
          <w:rFonts w:eastAsia="Arial Unicode MS" w:cs="Arial"/>
          <w:sz w:val="22"/>
          <w:szCs w:val="22"/>
        </w:rPr>
      </w:pPr>
      <w:r w:rsidRPr="007828C4">
        <w:rPr>
          <w:rFonts w:eastAsia="Arial Unicode MS" w:cs="Arial"/>
          <w:sz w:val="22"/>
          <w:szCs w:val="22"/>
        </w:rPr>
        <w:t>The values of the investment in private equity and infrastructure are based on valuations provided to the private equity and infrastructure funds in which Lancashire County Pension Fund has invested.  These valuations are prepared in accordance with the International Private Equity and Venture Capital Valuation Guidelines or equivalent, which follow the valuation principles of IFRS and US GAAP.  Valuations are performed annually mainly, and at the end of December.  Cash flow adjustments are used to roll forward the valuations to 31 March as appropriate.</w:t>
      </w:r>
    </w:p>
    <w:p w:rsidR="00D66945" w:rsidRPr="007828C4" w:rsidRDefault="00D66945" w:rsidP="00D66945">
      <w:pPr>
        <w:rPr>
          <w:rFonts w:eastAsia="Arial Unicode MS" w:cs="Arial"/>
          <w:sz w:val="22"/>
          <w:szCs w:val="22"/>
        </w:rPr>
      </w:pPr>
      <w:r w:rsidRPr="007828C4">
        <w:rPr>
          <w:rFonts w:eastAsia="Arial Unicode MS" w:cs="Arial"/>
          <w:sz w:val="22"/>
          <w:szCs w:val="22"/>
        </w:rPr>
        <w:t>The value of the overseas indirect property fund investment is based on valuations provided to the overseas indirect property fund in which Lancashire County Pension Fund has invested.  These valuations are at the current open market value, as defined by the RICS Appraisal and Valuation Standards.  These valuations are performed monthly.</w:t>
      </w:r>
    </w:p>
    <w:p w:rsidR="00D66945"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6</w:t>
      </w:r>
      <w:r w:rsidRPr="007828C4">
        <w:rPr>
          <w:rFonts w:eastAsia="Arial Unicode MS" w:cs="Arial"/>
          <w:b/>
          <w:sz w:val="32"/>
          <w:szCs w:val="22"/>
        </w:rPr>
        <w:t>.1.4 Fair value hierarchy</w:t>
      </w:r>
    </w:p>
    <w:p w:rsidR="00663358" w:rsidRPr="007828C4" w:rsidRDefault="00663358" w:rsidP="00D66945">
      <w:pPr>
        <w:rPr>
          <w:rFonts w:eastAsia="Arial Unicode MS" w:cs="Arial"/>
          <w:b/>
          <w:sz w:val="3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following table provides an analysis of the financial assets and liabilities of the Fund grouped into level 1 to 3 based on the level of which the fair value is observable.  </w:t>
      </w:r>
    </w:p>
    <w:p w:rsidR="00D66945" w:rsidRPr="007828C4" w:rsidRDefault="00D66945" w:rsidP="00D66945">
      <w:pPr>
        <w:rPr>
          <w:rFonts w:eastAsia="Arial Unicode MS" w:cs="Arial"/>
          <w:sz w:val="22"/>
          <w:szCs w:val="22"/>
        </w:rPr>
      </w:pPr>
      <w:r w:rsidRPr="007828C4">
        <w:rPr>
          <w:rFonts w:eastAsia="Arial Unicode MS" w:cs="Arial"/>
          <w:sz w:val="22"/>
          <w:szCs w:val="22"/>
        </w:rPr>
        <w:t>Loans and receivables are excluded from this table as they are held at amortised cost.</w:t>
      </w:r>
    </w:p>
    <w:p w:rsidR="00D66945" w:rsidRPr="007828C4" w:rsidRDefault="00D66945" w:rsidP="00D66945">
      <w:pPr>
        <w:ind w:left="720"/>
        <w:rPr>
          <w:rFonts w:eastAsia="Arial Unicode MS" w:cs="Arial"/>
          <w:sz w:val="22"/>
          <w:szCs w:val="22"/>
        </w:rPr>
      </w:pPr>
    </w:p>
    <w:tbl>
      <w:tblPr>
        <w:tblStyle w:val="TableGrid2"/>
        <w:tblW w:w="0" w:type="auto"/>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4496"/>
        <w:gridCol w:w="1161"/>
        <w:gridCol w:w="1273"/>
        <w:gridCol w:w="1517"/>
        <w:gridCol w:w="1146"/>
      </w:tblGrid>
      <w:tr w:rsidR="00D66945" w:rsidRPr="007828C4" w:rsidTr="00A33453">
        <w:trPr>
          <w:trHeight w:val="431"/>
        </w:trPr>
        <w:tc>
          <w:tcPr>
            <w:tcW w:w="4648" w:type="dxa"/>
            <w:tcBorders>
              <w:bottom w:val="nil"/>
            </w:tcBorders>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8</w:t>
            </w:r>
          </w:p>
        </w:tc>
        <w:tc>
          <w:tcPr>
            <w:tcW w:w="1172"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Quoted market price</w:t>
            </w: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Level 1</w:t>
            </w:r>
          </w:p>
        </w:tc>
        <w:tc>
          <w:tcPr>
            <w:tcW w:w="1196"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Using observable inputs</w:t>
            </w: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Level 2</w:t>
            </w:r>
          </w:p>
        </w:tc>
        <w:tc>
          <w:tcPr>
            <w:tcW w:w="1419"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With significant unobservable inputs</w:t>
            </w: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Level 3</w:t>
            </w:r>
          </w:p>
        </w:tc>
        <w:tc>
          <w:tcPr>
            <w:tcW w:w="1158"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Total</w:t>
            </w:r>
          </w:p>
        </w:tc>
      </w:tr>
      <w:tr w:rsidR="00D66945" w:rsidRPr="007828C4" w:rsidTr="00A33453">
        <w:trPr>
          <w:trHeight w:val="463"/>
        </w:trPr>
        <w:tc>
          <w:tcPr>
            <w:tcW w:w="4648"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172"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196"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419"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158"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4648"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Financial assets at fair value through profit and loss</w:t>
            </w:r>
          </w:p>
        </w:tc>
        <w:tc>
          <w:tcPr>
            <w:tcW w:w="1172" w:type="dxa"/>
            <w:shd w:val="clear" w:color="auto" w:fill="auto"/>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3,399.4</w:t>
            </w:r>
          </w:p>
        </w:tc>
        <w:tc>
          <w:tcPr>
            <w:tcW w:w="1196" w:type="dxa"/>
            <w:shd w:val="clear" w:color="auto" w:fill="auto"/>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116.9</w:t>
            </w:r>
          </w:p>
        </w:tc>
        <w:tc>
          <w:tcPr>
            <w:tcW w:w="1419" w:type="dxa"/>
            <w:shd w:val="clear" w:color="auto" w:fill="auto"/>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3,216.4</w:t>
            </w:r>
          </w:p>
        </w:tc>
        <w:tc>
          <w:tcPr>
            <w:tcW w:w="1158" w:type="dxa"/>
            <w:shd w:val="clear" w:color="auto" w:fill="auto"/>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6,732.7</w:t>
            </w:r>
          </w:p>
        </w:tc>
      </w:tr>
      <w:tr w:rsidR="00D66945" w:rsidRPr="007828C4" w:rsidTr="00A33453">
        <w:trPr>
          <w:trHeight w:val="431"/>
        </w:trPr>
        <w:tc>
          <w:tcPr>
            <w:tcW w:w="4648" w:type="dxa"/>
            <w:shd w:val="clear" w:color="auto" w:fill="auto"/>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Non-financial assets at fair value through profit and loss (property holdings)</w:t>
            </w:r>
          </w:p>
        </w:tc>
        <w:tc>
          <w:tcPr>
            <w:tcW w:w="1172" w:type="dxa"/>
            <w:shd w:val="clear" w:color="auto" w:fill="auto"/>
          </w:tcPr>
          <w:p w:rsidR="00D66945" w:rsidRPr="007828C4" w:rsidRDefault="00D66945" w:rsidP="00A33453">
            <w:pPr>
              <w:tabs>
                <w:tab w:val="left" w:pos="1080"/>
              </w:tabs>
              <w:jc w:val="right"/>
              <w:rPr>
                <w:rFonts w:eastAsia="Arial Unicode MS" w:cs="Arial"/>
                <w:b/>
                <w:sz w:val="20"/>
                <w:szCs w:val="20"/>
              </w:rPr>
            </w:pPr>
          </w:p>
        </w:tc>
        <w:tc>
          <w:tcPr>
            <w:tcW w:w="1196" w:type="dxa"/>
            <w:shd w:val="clear" w:color="auto" w:fill="auto"/>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715.5</w:t>
            </w:r>
          </w:p>
        </w:tc>
        <w:tc>
          <w:tcPr>
            <w:tcW w:w="1419" w:type="dxa"/>
            <w:shd w:val="clear" w:color="auto" w:fill="auto"/>
          </w:tcPr>
          <w:p w:rsidR="00D66945" w:rsidRPr="007828C4" w:rsidRDefault="00D66945" w:rsidP="00A33453">
            <w:pPr>
              <w:tabs>
                <w:tab w:val="left" w:pos="1080"/>
              </w:tabs>
              <w:jc w:val="right"/>
              <w:rPr>
                <w:rFonts w:eastAsia="Arial Unicode MS" w:cs="Arial"/>
                <w:sz w:val="20"/>
                <w:szCs w:val="20"/>
              </w:rPr>
            </w:pPr>
          </w:p>
        </w:tc>
        <w:tc>
          <w:tcPr>
            <w:tcW w:w="1158" w:type="dxa"/>
            <w:shd w:val="clear" w:color="auto" w:fill="auto"/>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715.5</w:t>
            </w:r>
          </w:p>
        </w:tc>
      </w:tr>
      <w:tr w:rsidR="00D66945" w:rsidRPr="007828C4" w:rsidTr="00A33453">
        <w:trPr>
          <w:trHeight w:val="431"/>
        </w:trPr>
        <w:tc>
          <w:tcPr>
            <w:tcW w:w="4648"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Net investment assets</w:t>
            </w:r>
          </w:p>
        </w:tc>
        <w:tc>
          <w:tcPr>
            <w:tcW w:w="1172" w:type="dxa"/>
            <w:shd w:val="clear" w:color="auto" w:fill="EDEDED" w:themeFill="accent3" w:themeFillTint="33"/>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3,399.4</w:t>
            </w:r>
          </w:p>
        </w:tc>
        <w:tc>
          <w:tcPr>
            <w:tcW w:w="1196" w:type="dxa"/>
            <w:shd w:val="clear" w:color="auto" w:fill="EDEDED" w:themeFill="accent3" w:themeFillTint="33"/>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832.4</w:t>
            </w:r>
          </w:p>
        </w:tc>
        <w:tc>
          <w:tcPr>
            <w:tcW w:w="1419" w:type="dxa"/>
            <w:shd w:val="clear" w:color="auto" w:fill="EDEDED" w:themeFill="accent3" w:themeFillTint="33"/>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3,216.4</w:t>
            </w:r>
          </w:p>
        </w:tc>
        <w:tc>
          <w:tcPr>
            <w:tcW w:w="1158"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7,448.2</w:t>
            </w:r>
          </w:p>
        </w:tc>
      </w:tr>
    </w:tbl>
    <w:p w:rsidR="00D66945" w:rsidRPr="007828C4" w:rsidRDefault="00D66945" w:rsidP="00D66945">
      <w:pPr>
        <w:tabs>
          <w:tab w:val="left" w:pos="1080"/>
        </w:tabs>
        <w:ind w:left="709"/>
        <w:rPr>
          <w:rFonts w:eastAsia="Arial Unicode MS" w:cs="Arial"/>
          <w:sz w:val="20"/>
          <w:szCs w:val="20"/>
        </w:rPr>
      </w:pPr>
    </w:p>
    <w:p w:rsidR="00D66945" w:rsidRPr="007828C4" w:rsidRDefault="00D66945" w:rsidP="00D66945">
      <w:pPr>
        <w:tabs>
          <w:tab w:val="left" w:pos="1080"/>
        </w:tabs>
        <w:ind w:left="709"/>
        <w:rPr>
          <w:rFonts w:eastAsia="Arial Unicode MS" w:cs="Arial"/>
          <w:sz w:val="20"/>
          <w:szCs w:val="20"/>
        </w:rPr>
      </w:pPr>
    </w:p>
    <w:p w:rsidR="00D66945" w:rsidRPr="007828C4" w:rsidRDefault="00D66945" w:rsidP="00D66945">
      <w:pPr>
        <w:ind w:left="720"/>
        <w:rPr>
          <w:rFonts w:eastAsia="Arial Unicode MS" w:cs="Arial"/>
          <w:sz w:val="22"/>
          <w:szCs w:val="22"/>
        </w:rPr>
      </w:pPr>
    </w:p>
    <w:tbl>
      <w:tblPr>
        <w:tblStyle w:val="TableGrid2"/>
        <w:tblW w:w="0" w:type="auto"/>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4536"/>
        <w:gridCol w:w="1134"/>
        <w:gridCol w:w="1276"/>
        <w:gridCol w:w="1559"/>
        <w:gridCol w:w="1088"/>
      </w:tblGrid>
      <w:tr w:rsidR="00D66945" w:rsidRPr="007828C4" w:rsidTr="00A33453">
        <w:trPr>
          <w:trHeight w:val="431"/>
        </w:trPr>
        <w:tc>
          <w:tcPr>
            <w:tcW w:w="4536" w:type="dxa"/>
            <w:tcBorders>
              <w:bottom w:val="nil"/>
            </w:tcBorders>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7</w:t>
            </w:r>
          </w:p>
        </w:tc>
        <w:tc>
          <w:tcPr>
            <w:tcW w:w="1134"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Quoted market price</w:t>
            </w: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Level 1</w:t>
            </w:r>
          </w:p>
        </w:tc>
        <w:tc>
          <w:tcPr>
            <w:tcW w:w="1276"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Using observable inputs</w:t>
            </w: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Level 2</w:t>
            </w:r>
          </w:p>
        </w:tc>
        <w:tc>
          <w:tcPr>
            <w:tcW w:w="1559"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With significant unobservable inputs</w:t>
            </w: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Level 3</w:t>
            </w:r>
          </w:p>
        </w:tc>
        <w:tc>
          <w:tcPr>
            <w:tcW w:w="1088"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p>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Total</w:t>
            </w:r>
          </w:p>
        </w:tc>
      </w:tr>
      <w:tr w:rsidR="00D66945" w:rsidRPr="007828C4" w:rsidTr="00A33453">
        <w:trPr>
          <w:trHeight w:val="431"/>
        </w:trPr>
        <w:tc>
          <w:tcPr>
            <w:tcW w:w="4536"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134"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276"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559"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088"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4536"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Financial assets at fair value through profit and loss</w:t>
            </w:r>
          </w:p>
        </w:tc>
        <w:tc>
          <w:tcPr>
            <w:tcW w:w="1134"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3,549.9</w:t>
            </w:r>
          </w:p>
        </w:tc>
        <w:tc>
          <w:tcPr>
            <w:tcW w:w="1276"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158.7</w:t>
            </w:r>
          </w:p>
        </w:tc>
        <w:tc>
          <w:tcPr>
            <w:tcW w:w="1559"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2,789.5</w:t>
            </w:r>
          </w:p>
        </w:tc>
        <w:tc>
          <w:tcPr>
            <w:tcW w:w="1088"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6,498.1</w:t>
            </w:r>
          </w:p>
        </w:tc>
      </w:tr>
      <w:tr w:rsidR="00D66945" w:rsidRPr="007828C4" w:rsidTr="00A33453">
        <w:trPr>
          <w:trHeight w:val="431"/>
        </w:trPr>
        <w:tc>
          <w:tcPr>
            <w:tcW w:w="4536"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Non-financial assets at fair value through profit and loss (property holdings)</w:t>
            </w:r>
          </w:p>
        </w:tc>
        <w:tc>
          <w:tcPr>
            <w:tcW w:w="1134" w:type="dxa"/>
          </w:tcPr>
          <w:p w:rsidR="00D66945" w:rsidRPr="007828C4" w:rsidRDefault="00D66945" w:rsidP="00A33453">
            <w:pPr>
              <w:tabs>
                <w:tab w:val="left" w:pos="1080"/>
              </w:tabs>
              <w:jc w:val="right"/>
              <w:rPr>
                <w:rFonts w:eastAsia="Arial Unicode MS" w:cs="Arial"/>
                <w:sz w:val="20"/>
                <w:szCs w:val="20"/>
              </w:rPr>
            </w:pPr>
          </w:p>
        </w:tc>
        <w:tc>
          <w:tcPr>
            <w:tcW w:w="1276"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637.0</w:t>
            </w:r>
          </w:p>
        </w:tc>
        <w:tc>
          <w:tcPr>
            <w:tcW w:w="1559" w:type="dxa"/>
          </w:tcPr>
          <w:p w:rsidR="00D66945" w:rsidRPr="007828C4" w:rsidRDefault="00D66945" w:rsidP="00A33453">
            <w:pPr>
              <w:tabs>
                <w:tab w:val="left" w:pos="1080"/>
              </w:tabs>
              <w:jc w:val="right"/>
              <w:rPr>
                <w:rFonts w:eastAsia="Arial Unicode MS" w:cs="Arial"/>
                <w:sz w:val="20"/>
                <w:szCs w:val="20"/>
              </w:rPr>
            </w:pPr>
          </w:p>
        </w:tc>
        <w:tc>
          <w:tcPr>
            <w:tcW w:w="1088"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637.0</w:t>
            </w:r>
          </w:p>
        </w:tc>
      </w:tr>
      <w:tr w:rsidR="00D66945" w:rsidRPr="007828C4" w:rsidTr="00A33453">
        <w:trPr>
          <w:trHeight w:val="431"/>
        </w:trPr>
        <w:tc>
          <w:tcPr>
            <w:tcW w:w="4536"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Net investment assets</w:t>
            </w:r>
          </w:p>
        </w:tc>
        <w:tc>
          <w:tcPr>
            <w:tcW w:w="1134"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3,549.9</w:t>
            </w:r>
          </w:p>
        </w:tc>
        <w:tc>
          <w:tcPr>
            <w:tcW w:w="1276"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795.7</w:t>
            </w:r>
          </w:p>
        </w:tc>
        <w:tc>
          <w:tcPr>
            <w:tcW w:w="1559"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2,789.5</w:t>
            </w:r>
          </w:p>
        </w:tc>
        <w:tc>
          <w:tcPr>
            <w:tcW w:w="1088"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7,135.1</w:t>
            </w:r>
          </w:p>
        </w:tc>
      </w:tr>
    </w:tbl>
    <w:p w:rsidR="00D66945" w:rsidRPr="007828C4" w:rsidRDefault="00D66945" w:rsidP="00D66945">
      <w:pPr>
        <w:rPr>
          <w:rFonts w:eastAsia="Arial Unicode MS" w:cs="Arial"/>
          <w:sz w:val="22"/>
          <w:szCs w:val="22"/>
        </w:rPr>
      </w:pPr>
    </w:p>
    <w:p w:rsidR="00D66945" w:rsidRDefault="00D66945" w:rsidP="00D66945">
      <w:pPr>
        <w:rPr>
          <w:rFonts w:eastAsia="Arial Unicode MS" w:cs="Arial"/>
          <w:sz w:val="32"/>
          <w:szCs w:val="32"/>
        </w:rPr>
      </w:pPr>
    </w:p>
    <w:p w:rsidR="00663358" w:rsidRDefault="00663358" w:rsidP="00D66945">
      <w:pPr>
        <w:rPr>
          <w:rFonts w:eastAsia="Arial Unicode MS" w:cs="Arial"/>
          <w:sz w:val="32"/>
          <w:szCs w:val="32"/>
        </w:rPr>
      </w:pPr>
    </w:p>
    <w:p w:rsidR="00663358" w:rsidRDefault="00663358" w:rsidP="00D66945">
      <w:pPr>
        <w:rPr>
          <w:rFonts w:eastAsia="Arial Unicode MS" w:cs="Arial"/>
          <w:sz w:val="32"/>
          <w:szCs w:val="32"/>
        </w:rPr>
      </w:pPr>
    </w:p>
    <w:p w:rsidR="00663358" w:rsidRPr="00796CE9" w:rsidRDefault="00663358" w:rsidP="00D66945">
      <w:pPr>
        <w:rPr>
          <w:rFonts w:eastAsia="Arial Unicode MS" w:cs="Arial"/>
          <w:sz w:val="32"/>
          <w:szCs w:val="32"/>
        </w:rPr>
      </w:pPr>
    </w:p>
    <w:p w:rsidR="00D66945" w:rsidRPr="00796CE9" w:rsidRDefault="00D66945" w:rsidP="00D66945">
      <w:pPr>
        <w:rPr>
          <w:rFonts w:eastAsia="Arial Unicode MS" w:cs="Arial"/>
          <w:b/>
          <w:sz w:val="22"/>
          <w:szCs w:val="22"/>
        </w:rPr>
      </w:pPr>
      <w:r w:rsidRPr="00E344AA">
        <w:rPr>
          <w:rFonts w:eastAsia="Arial Unicode MS" w:cs="Arial"/>
          <w:b/>
          <w:sz w:val="32"/>
          <w:szCs w:val="32"/>
        </w:rPr>
        <w:t>1</w:t>
      </w:r>
      <w:r>
        <w:rPr>
          <w:rFonts w:eastAsia="Arial Unicode MS" w:cs="Arial"/>
          <w:b/>
          <w:sz w:val="32"/>
          <w:szCs w:val="32"/>
        </w:rPr>
        <w:t>6</w:t>
      </w:r>
      <w:r w:rsidRPr="00E344AA">
        <w:rPr>
          <w:rFonts w:eastAsia="Arial Unicode MS" w:cs="Arial"/>
          <w:b/>
          <w:sz w:val="32"/>
          <w:szCs w:val="32"/>
        </w:rPr>
        <w:t>.1.5 Basis of valuation</w:t>
      </w:r>
    </w:p>
    <w:tbl>
      <w:tblPr>
        <w:tblStyle w:val="TableGrid"/>
        <w:tblW w:w="0" w:type="auto"/>
        <w:tblLook w:val="04A0" w:firstRow="1" w:lastRow="0" w:firstColumn="1" w:lastColumn="0" w:noHBand="0" w:noVBand="1"/>
      </w:tblPr>
      <w:tblGrid>
        <w:gridCol w:w="2516"/>
        <w:gridCol w:w="1285"/>
        <w:gridCol w:w="2490"/>
        <w:gridCol w:w="1647"/>
        <w:gridCol w:w="1650"/>
      </w:tblGrid>
      <w:tr w:rsidR="00D66945" w:rsidTr="00663358">
        <w:trPr>
          <w:trHeight w:val="1304"/>
        </w:trPr>
        <w:tc>
          <w:tcPr>
            <w:tcW w:w="2516" w:type="dxa"/>
            <w:shd w:val="clear" w:color="auto" w:fill="E7E6E6" w:themeFill="background2"/>
          </w:tcPr>
          <w:p w:rsidR="00D66945" w:rsidRPr="00796CE9" w:rsidRDefault="00D66945" w:rsidP="00A33453">
            <w:pPr>
              <w:rPr>
                <w:rFonts w:eastAsia="Arial Unicode MS" w:cs="Arial"/>
                <w:b/>
                <w:sz w:val="22"/>
                <w:szCs w:val="22"/>
              </w:rPr>
            </w:pPr>
            <w:r w:rsidRPr="00796CE9">
              <w:rPr>
                <w:rFonts w:eastAsia="Arial Unicode MS" w:cs="Arial"/>
                <w:b/>
                <w:sz w:val="22"/>
                <w:szCs w:val="22"/>
              </w:rPr>
              <w:t>Description of asset</w:t>
            </w:r>
          </w:p>
        </w:tc>
        <w:tc>
          <w:tcPr>
            <w:tcW w:w="1285" w:type="dxa"/>
            <w:shd w:val="clear" w:color="auto" w:fill="E7E6E6" w:themeFill="background2"/>
          </w:tcPr>
          <w:p w:rsidR="00D66945" w:rsidRPr="00796CE9" w:rsidRDefault="00D66945" w:rsidP="00A33453">
            <w:pPr>
              <w:jc w:val="center"/>
              <w:rPr>
                <w:rFonts w:eastAsia="Arial Unicode MS" w:cs="Arial"/>
                <w:b/>
                <w:sz w:val="22"/>
                <w:szCs w:val="22"/>
              </w:rPr>
            </w:pPr>
            <w:r w:rsidRPr="00796CE9">
              <w:rPr>
                <w:rFonts w:eastAsia="Arial Unicode MS" w:cs="Arial"/>
                <w:b/>
                <w:sz w:val="22"/>
                <w:szCs w:val="22"/>
              </w:rPr>
              <w:t>Valuation hierarchy</w:t>
            </w:r>
          </w:p>
        </w:tc>
        <w:tc>
          <w:tcPr>
            <w:tcW w:w="2490" w:type="dxa"/>
            <w:shd w:val="clear" w:color="auto" w:fill="E7E6E6" w:themeFill="background2"/>
          </w:tcPr>
          <w:p w:rsidR="00D66945" w:rsidRPr="00796CE9" w:rsidRDefault="00D66945" w:rsidP="00A33453">
            <w:pPr>
              <w:rPr>
                <w:rFonts w:eastAsia="Arial Unicode MS" w:cs="Arial"/>
                <w:b/>
                <w:sz w:val="22"/>
                <w:szCs w:val="22"/>
              </w:rPr>
            </w:pPr>
            <w:r w:rsidRPr="00796CE9">
              <w:rPr>
                <w:rFonts w:eastAsia="Arial Unicode MS" w:cs="Arial"/>
                <w:b/>
                <w:sz w:val="22"/>
                <w:szCs w:val="22"/>
              </w:rPr>
              <w:t>Basis of valuation</w:t>
            </w:r>
          </w:p>
        </w:tc>
        <w:tc>
          <w:tcPr>
            <w:tcW w:w="1647" w:type="dxa"/>
            <w:shd w:val="clear" w:color="auto" w:fill="E7E6E6" w:themeFill="background2"/>
          </w:tcPr>
          <w:p w:rsidR="00D66945" w:rsidRPr="00796CE9" w:rsidRDefault="00D66945" w:rsidP="00A33453">
            <w:pPr>
              <w:rPr>
                <w:rFonts w:eastAsia="Arial Unicode MS" w:cs="Arial"/>
                <w:b/>
                <w:sz w:val="22"/>
                <w:szCs w:val="22"/>
              </w:rPr>
            </w:pPr>
            <w:r w:rsidRPr="00796CE9">
              <w:rPr>
                <w:rFonts w:eastAsia="Arial Unicode MS" w:cs="Arial"/>
                <w:b/>
                <w:sz w:val="22"/>
                <w:szCs w:val="22"/>
              </w:rPr>
              <w:t xml:space="preserve">Observable and </w:t>
            </w:r>
            <w:r w:rsidRPr="00E05D89">
              <w:rPr>
                <w:rFonts w:eastAsia="Arial Unicode MS" w:cs="Arial"/>
                <w:b/>
                <w:sz w:val="22"/>
                <w:szCs w:val="22"/>
              </w:rPr>
              <w:t>unobservable</w:t>
            </w:r>
            <w:r w:rsidRPr="00796CE9">
              <w:rPr>
                <w:rFonts w:eastAsia="Arial Unicode MS" w:cs="Arial"/>
                <w:b/>
                <w:sz w:val="22"/>
                <w:szCs w:val="22"/>
              </w:rPr>
              <w:t xml:space="preserve"> inputs</w:t>
            </w:r>
          </w:p>
        </w:tc>
        <w:tc>
          <w:tcPr>
            <w:tcW w:w="1650" w:type="dxa"/>
            <w:shd w:val="clear" w:color="auto" w:fill="E7E6E6" w:themeFill="background2"/>
          </w:tcPr>
          <w:p w:rsidR="00D66945" w:rsidRPr="00796CE9" w:rsidRDefault="00D66945" w:rsidP="00A33453">
            <w:pPr>
              <w:rPr>
                <w:rFonts w:eastAsia="Arial Unicode MS" w:cs="Arial"/>
                <w:b/>
                <w:sz w:val="22"/>
                <w:szCs w:val="22"/>
              </w:rPr>
            </w:pPr>
            <w:r w:rsidRPr="00796CE9">
              <w:rPr>
                <w:rFonts w:eastAsia="Arial Unicode MS" w:cs="Arial"/>
                <w:b/>
                <w:sz w:val="22"/>
                <w:szCs w:val="22"/>
              </w:rPr>
              <w:t>Key sensitivities affecting the valuations provided</w:t>
            </w:r>
          </w:p>
        </w:tc>
      </w:tr>
      <w:tr w:rsidR="00D66945" w:rsidTr="00A33453">
        <w:tc>
          <w:tcPr>
            <w:tcW w:w="2516" w:type="dxa"/>
          </w:tcPr>
          <w:p w:rsidR="00D66945" w:rsidRPr="00663358" w:rsidRDefault="00D66945" w:rsidP="00A33453">
            <w:pPr>
              <w:rPr>
                <w:rFonts w:eastAsia="Arial Unicode MS" w:cs="Arial"/>
                <w:sz w:val="20"/>
                <w:szCs w:val="20"/>
              </w:rPr>
            </w:pPr>
            <w:r w:rsidRPr="00663358">
              <w:rPr>
                <w:rFonts w:eastAsia="Arial Unicode MS" w:cs="Arial"/>
                <w:sz w:val="20"/>
                <w:szCs w:val="20"/>
              </w:rPr>
              <w:t>Pooled global equities</w:t>
            </w:r>
          </w:p>
        </w:tc>
        <w:tc>
          <w:tcPr>
            <w:tcW w:w="1285" w:type="dxa"/>
          </w:tcPr>
          <w:p w:rsidR="00D66945" w:rsidRPr="00663358" w:rsidRDefault="00D66945" w:rsidP="00A33453">
            <w:pPr>
              <w:jc w:val="center"/>
              <w:rPr>
                <w:rFonts w:eastAsia="Arial Unicode MS" w:cs="Arial"/>
                <w:sz w:val="20"/>
                <w:szCs w:val="20"/>
              </w:rPr>
            </w:pPr>
            <w:r w:rsidRPr="00663358">
              <w:rPr>
                <w:rFonts w:eastAsia="Arial Unicode MS" w:cs="Arial"/>
                <w:sz w:val="20"/>
                <w:szCs w:val="20"/>
              </w:rPr>
              <w:t>Level 1</w:t>
            </w:r>
          </w:p>
        </w:tc>
        <w:tc>
          <w:tcPr>
            <w:tcW w:w="2490" w:type="dxa"/>
          </w:tcPr>
          <w:p w:rsidR="00D66945" w:rsidRPr="00663358" w:rsidRDefault="00D66945" w:rsidP="00A33453">
            <w:pPr>
              <w:rPr>
                <w:rFonts w:eastAsia="Arial Unicode MS" w:cs="Arial"/>
                <w:sz w:val="20"/>
                <w:szCs w:val="20"/>
              </w:rPr>
            </w:pPr>
            <w:r w:rsidRPr="00663358">
              <w:rPr>
                <w:rFonts w:eastAsia="Arial Unicode MS" w:cs="Arial"/>
                <w:sz w:val="20"/>
                <w:szCs w:val="20"/>
              </w:rPr>
              <w:t>Unadjusted quoted bid market prices.</w:t>
            </w:r>
          </w:p>
        </w:tc>
        <w:tc>
          <w:tcPr>
            <w:tcW w:w="1647" w:type="dxa"/>
          </w:tcPr>
          <w:p w:rsidR="00D66945" w:rsidRPr="00663358" w:rsidRDefault="00D66945" w:rsidP="00A33453">
            <w:pPr>
              <w:rPr>
                <w:rFonts w:eastAsia="Arial Unicode MS" w:cs="Arial"/>
                <w:sz w:val="20"/>
                <w:szCs w:val="20"/>
              </w:rPr>
            </w:pPr>
            <w:r w:rsidRPr="00663358">
              <w:rPr>
                <w:rFonts w:eastAsia="Arial Unicode MS" w:cs="Arial"/>
                <w:sz w:val="20"/>
                <w:szCs w:val="20"/>
              </w:rPr>
              <w:t>Not required.</w:t>
            </w:r>
          </w:p>
        </w:tc>
        <w:tc>
          <w:tcPr>
            <w:tcW w:w="1650" w:type="dxa"/>
          </w:tcPr>
          <w:p w:rsidR="00D66945" w:rsidRPr="00663358" w:rsidRDefault="00D66945" w:rsidP="00A33453">
            <w:pPr>
              <w:rPr>
                <w:rFonts w:eastAsia="Arial Unicode MS" w:cs="Arial"/>
                <w:sz w:val="20"/>
                <w:szCs w:val="20"/>
              </w:rPr>
            </w:pPr>
            <w:r w:rsidRPr="00663358">
              <w:rPr>
                <w:rFonts w:eastAsia="Arial Unicode MS" w:cs="Arial"/>
                <w:sz w:val="20"/>
                <w:szCs w:val="20"/>
              </w:rPr>
              <w:t>Not required.</w:t>
            </w:r>
          </w:p>
        </w:tc>
      </w:tr>
      <w:tr w:rsidR="00D66945" w:rsidTr="00A33453">
        <w:tc>
          <w:tcPr>
            <w:tcW w:w="2516" w:type="dxa"/>
          </w:tcPr>
          <w:p w:rsidR="00D66945" w:rsidRPr="00663358" w:rsidRDefault="00D66945" w:rsidP="00A33453">
            <w:pPr>
              <w:rPr>
                <w:rFonts w:eastAsia="Arial Unicode MS" w:cs="Arial"/>
                <w:sz w:val="20"/>
                <w:szCs w:val="20"/>
              </w:rPr>
            </w:pPr>
            <w:r w:rsidRPr="00663358">
              <w:rPr>
                <w:rFonts w:eastAsia="Arial Unicode MS" w:cs="Arial"/>
                <w:sz w:val="20"/>
                <w:szCs w:val="20"/>
              </w:rPr>
              <w:t>Fixed income funds</w:t>
            </w:r>
          </w:p>
        </w:tc>
        <w:tc>
          <w:tcPr>
            <w:tcW w:w="1285" w:type="dxa"/>
          </w:tcPr>
          <w:p w:rsidR="00D66945" w:rsidRPr="00663358" w:rsidRDefault="00D66945" w:rsidP="00A33453">
            <w:pPr>
              <w:jc w:val="center"/>
              <w:rPr>
                <w:rFonts w:eastAsia="Arial Unicode MS" w:cs="Arial"/>
                <w:sz w:val="20"/>
                <w:szCs w:val="20"/>
              </w:rPr>
            </w:pPr>
            <w:r w:rsidRPr="00663358">
              <w:rPr>
                <w:rFonts w:eastAsia="Arial Unicode MS" w:cs="Arial"/>
                <w:sz w:val="20"/>
                <w:szCs w:val="20"/>
              </w:rPr>
              <w:t xml:space="preserve">Level 1 </w:t>
            </w:r>
          </w:p>
        </w:tc>
        <w:tc>
          <w:tcPr>
            <w:tcW w:w="2490" w:type="dxa"/>
          </w:tcPr>
          <w:p w:rsidR="00D66945" w:rsidRPr="00663358" w:rsidRDefault="00D66945" w:rsidP="00A33453">
            <w:pPr>
              <w:rPr>
                <w:rFonts w:eastAsia="Arial Unicode MS" w:cs="Arial"/>
                <w:sz w:val="20"/>
                <w:szCs w:val="20"/>
              </w:rPr>
            </w:pPr>
            <w:r w:rsidRPr="00663358">
              <w:rPr>
                <w:rFonts w:eastAsia="Arial Unicode MS" w:cs="Arial"/>
                <w:sz w:val="20"/>
                <w:szCs w:val="20"/>
              </w:rPr>
              <w:t>Unadjusted market values based on current yields.</w:t>
            </w:r>
          </w:p>
        </w:tc>
        <w:tc>
          <w:tcPr>
            <w:tcW w:w="1647" w:type="dxa"/>
          </w:tcPr>
          <w:p w:rsidR="00D66945" w:rsidRPr="00663358" w:rsidRDefault="00D66945" w:rsidP="00A33453">
            <w:pPr>
              <w:rPr>
                <w:rFonts w:eastAsia="Arial Unicode MS" w:cs="Arial"/>
                <w:sz w:val="20"/>
                <w:szCs w:val="20"/>
              </w:rPr>
            </w:pPr>
            <w:r w:rsidRPr="00663358">
              <w:rPr>
                <w:rFonts w:eastAsia="Arial Unicode MS" w:cs="Arial"/>
                <w:sz w:val="20"/>
                <w:szCs w:val="20"/>
              </w:rPr>
              <w:t>Not required.</w:t>
            </w:r>
          </w:p>
        </w:tc>
        <w:tc>
          <w:tcPr>
            <w:tcW w:w="1650" w:type="dxa"/>
          </w:tcPr>
          <w:p w:rsidR="00D66945" w:rsidRPr="00663358" w:rsidRDefault="00D66945" w:rsidP="00A33453">
            <w:pPr>
              <w:rPr>
                <w:rFonts w:eastAsia="Arial Unicode MS" w:cs="Arial"/>
                <w:sz w:val="20"/>
                <w:szCs w:val="20"/>
              </w:rPr>
            </w:pPr>
            <w:r w:rsidRPr="00663358">
              <w:rPr>
                <w:rFonts w:eastAsia="Arial Unicode MS" w:cs="Arial"/>
                <w:sz w:val="20"/>
                <w:szCs w:val="20"/>
              </w:rPr>
              <w:t>Not required.</w:t>
            </w:r>
          </w:p>
        </w:tc>
      </w:tr>
      <w:tr w:rsidR="00D66945" w:rsidTr="00A33453">
        <w:tc>
          <w:tcPr>
            <w:tcW w:w="2516" w:type="dxa"/>
          </w:tcPr>
          <w:p w:rsidR="00D66945" w:rsidRPr="00663358" w:rsidRDefault="00D66945" w:rsidP="00A33453">
            <w:pPr>
              <w:rPr>
                <w:rFonts w:eastAsia="Arial Unicode MS" w:cs="Arial"/>
                <w:sz w:val="20"/>
                <w:szCs w:val="20"/>
              </w:rPr>
            </w:pPr>
            <w:r w:rsidRPr="00663358">
              <w:rPr>
                <w:rFonts w:eastAsia="Arial Unicode MS" w:cs="Arial"/>
                <w:sz w:val="20"/>
                <w:szCs w:val="20"/>
              </w:rPr>
              <w:t>Corporate and overseas government bonds</w:t>
            </w:r>
          </w:p>
        </w:tc>
        <w:tc>
          <w:tcPr>
            <w:tcW w:w="1285" w:type="dxa"/>
          </w:tcPr>
          <w:p w:rsidR="00D66945" w:rsidRPr="00663358" w:rsidRDefault="00D66945" w:rsidP="00A33453">
            <w:pPr>
              <w:jc w:val="center"/>
              <w:rPr>
                <w:rFonts w:eastAsia="Arial Unicode MS" w:cs="Arial"/>
                <w:sz w:val="20"/>
                <w:szCs w:val="20"/>
              </w:rPr>
            </w:pPr>
            <w:r w:rsidRPr="00663358">
              <w:rPr>
                <w:rFonts w:eastAsia="Arial Unicode MS" w:cs="Arial"/>
                <w:sz w:val="20"/>
                <w:szCs w:val="20"/>
              </w:rPr>
              <w:t xml:space="preserve">Level 2 </w:t>
            </w:r>
          </w:p>
        </w:tc>
        <w:tc>
          <w:tcPr>
            <w:tcW w:w="2490" w:type="dxa"/>
          </w:tcPr>
          <w:p w:rsidR="00D66945" w:rsidRPr="00663358" w:rsidRDefault="00D66945" w:rsidP="00A33453">
            <w:pPr>
              <w:rPr>
                <w:rFonts w:eastAsia="Arial Unicode MS" w:cs="Arial"/>
                <w:sz w:val="20"/>
                <w:szCs w:val="20"/>
              </w:rPr>
            </w:pPr>
            <w:r w:rsidRPr="00663358">
              <w:rPr>
                <w:rFonts w:eastAsia="Arial Unicode MS" w:cs="Arial"/>
                <w:sz w:val="20"/>
                <w:szCs w:val="20"/>
              </w:rPr>
              <w:t>Market approach – active 'over the counter' markets</w:t>
            </w:r>
          </w:p>
        </w:tc>
        <w:tc>
          <w:tcPr>
            <w:tcW w:w="1647" w:type="dxa"/>
          </w:tcPr>
          <w:p w:rsidR="00D66945" w:rsidRPr="00663358" w:rsidRDefault="00D66945" w:rsidP="00A33453">
            <w:pPr>
              <w:rPr>
                <w:rFonts w:eastAsia="Arial Unicode MS" w:cs="Arial"/>
                <w:sz w:val="20"/>
                <w:szCs w:val="20"/>
              </w:rPr>
            </w:pPr>
            <w:r w:rsidRPr="00663358">
              <w:rPr>
                <w:rFonts w:eastAsia="Arial Unicode MS" w:cs="Arial"/>
                <w:sz w:val="20"/>
                <w:szCs w:val="20"/>
              </w:rPr>
              <w:t>Corroborative indicative quotes, interest rates, inflation.</w:t>
            </w:r>
          </w:p>
        </w:tc>
        <w:tc>
          <w:tcPr>
            <w:tcW w:w="1650" w:type="dxa"/>
          </w:tcPr>
          <w:p w:rsidR="00D66945" w:rsidRPr="00663358" w:rsidRDefault="00D66945" w:rsidP="00A33453">
            <w:pPr>
              <w:rPr>
                <w:rFonts w:eastAsia="Arial Unicode MS" w:cs="Arial"/>
                <w:sz w:val="20"/>
                <w:szCs w:val="20"/>
              </w:rPr>
            </w:pPr>
            <w:r w:rsidRPr="00663358">
              <w:rPr>
                <w:rFonts w:eastAsia="Arial Unicode MS" w:cs="Arial"/>
                <w:sz w:val="20"/>
                <w:szCs w:val="20"/>
              </w:rPr>
              <w:t xml:space="preserve">Not required. </w:t>
            </w:r>
          </w:p>
        </w:tc>
      </w:tr>
      <w:tr w:rsidR="00D66945" w:rsidTr="00A33453">
        <w:tc>
          <w:tcPr>
            <w:tcW w:w="2516" w:type="dxa"/>
          </w:tcPr>
          <w:p w:rsidR="00D66945" w:rsidRPr="00663358" w:rsidRDefault="00D66945" w:rsidP="00A33453">
            <w:pPr>
              <w:rPr>
                <w:rFonts w:eastAsia="Arial Unicode MS" w:cs="Arial"/>
                <w:sz w:val="20"/>
                <w:szCs w:val="20"/>
              </w:rPr>
            </w:pPr>
            <w:r w:rsidRPr="00663358">
              <w:rPr>
                <w:rFonts w:eastAsia="Arial Unicode MS" w:cs="Arial"/>
                <w:sz w:val="20"/>
                <w:szCs w:val="20"/>
              </w:rPr>
              <w:t>Direct property holdings</w:t>
            </w:r>
          </w:p>
        </w:tc>
        <w:tc>
          <w:tcPr>
            <w:tcW w:w="1285" w:type="dxa"/>
          </w:tcPr>
          <w:p w:rsidR="00D66945" w:rsidRPr="00663358" w:rsidRDefault="00D66945" w:rsidP="00A33453">
            <w:pPr>
              <w:jc w:val="center"/>
              <w:rPr>
                <w:rFonts w:eastAsia="Arial Unicode MS" w:cs="Arial"/>
                <w:sz w:val="20"/>
                <w:szCs w:val="20"/>
              </w:rPr>
            </w:pPr>
            <w:r w:rsidRPr="00663358">
              <w:rPr>
                <w:rFonts w:eastAsia="Arial Unicode MS" w:cs="Arial"/>
                <w:sz w:val="20"/>
                <w:szCs w:val="20"/>
              </w:rPr>
              <w:t>Level 2</w:t>
            </w:r>
          </w:p>
        </w:tc>
        <w:tc>
          <w:tcPr>
            <w:tcW w:w="2490" w:type="dxa"/>
          </w:tcPr>
          <w:p w:rsidR="00D66945" w:rsidRPr="00663358" w:rsidRDefault="00D66945" w:rsidP="00A33453">
            <w:pPr>
              <w:rPr>
                <w:rFonts w:eastAsia="Arial Unicode MS" w:cs="Arial"/>
                <w:sz w:val="20"/>
                <w:szCs w:val="20"/>
              </w:rPr>
            </w:pPr>
            <w:r w:rsidRPr="00663358">
              <w:rPr>
                <w:rFonts w:eastAsia="Arial Unicode MS" w:cs="Arial"/>
                <w:sz w:val="20"/>
                <w:szCs w:val="20"/>
              </w:rPr>
              <w:t>Valuation performed by independent professional valuers Bilfinger GVA in accordance with RICS valuation standards (9</w:t>
            </w:r>
            <w:r w:rsidRPr="00663358">
              <w:rPr>
                <w:rFonts w:eastAsia="Arial Unicode MS" w:cs="Arial"/>
                <w:sz w:val="20"/>
                <w:szCs w:val="20"/>
                <w:vertAlign w:val="superscript"/>
              </w:rPr>
              <w:t>th</w:t>
            </w:r>
            <w:r w:rsidRPr="00663358">
              <w:rPr>
                <w:rFonts w:eastAsia="Arial Unicode MS" w:cs="Arial"/>
                <w:sz w:val="20"/>
                <w:szCs w:val="20"/>
              </w:rPr>
              <w:t xml:space="preserve"> edition).</w:t>
            </w:r>
          </w:p>
        </w:tc>
        <w:tc>
          <w:tcPr>
            <w:tcW w:w="1647" w:type="dxa"/>
          </w:tcPr>
          <w:p w:rsidR="00D66945" w:rsidRPr="00663358" w:rsidRDefault="00D66945" w:rsidP="00A33453">
            <w:pPr>
              <w:rPr>
                <w:rFonts w:eastAsia="Arial Unicode MS" w:cs="Arial"/>
                <w:sz w:val="20"/>
                <w:szCs w:val="20"/>
              </w:rPr>
            </w:pPr>
            <w:r w:rsidRPr="00663358">
              <w:rPr>
                <w:rFonts w:eastAsia="Arial Unicode MS" w:cs="Arial"/>
                <w:sz w:val="20"/>
                <w:szCs w:val="20"/>
              </w:rPr>
              <w:t xml:space="preserve">Comparable recent market transactions on </w:t>
            </w:r>
            <w:r w:rsidR="00663358" w:rsidRPr="00663358">
              <w:rPr>
                <w:rFonts w:eastAsia="Arial Unicode MS" w:cs="Arial"/>
                <w:sz w:val="20"/>
                <w:szCs w:val="20"/>
              </w:rPr>
              <w:t>arm's length</w:t>
            </w:r>
            <w:r w:rsidRPr="00663358">
              <w:rPr>
                <w:rFonts w:eastAsia="Arial Unicode MS" w:cs="Arial"/>
                <w:sz w:val="20"/>
                <w:szCs w:val="20"/>
              </w:rPr>
              <w:t xml:space="preserve"> terms; general changes in property market prices; rental growth; vacant properties.</w:t>
            </w:r>
          </w:p>
        </w:tc>
        <w:tc>
          <w:tcPr>
            <w:tcW w:w="1650" w:type="dxa"/>
          </w:tcPr>
          <w:p w:rsidR="00D66945" w:rsidRPr="00663358" w:rsidRDefault="00D66945" w:rsidP="00A33453">
            <w:pPr>
              <w:rPr>
                <w:rFonts w:cs="Arial"/>
                <w:sz w:val="20"/>
                <w:szCs w:val="20"/>
              </w:rPr>
            </w:pPr>
            <w:r w:rsidRPr="00663358">
              <w:rPr>
                <w:rFonts w:eastAsia="Arial Unicode MS" w:cs="Arial"/>
                <w:sz w:val="20"/>
                <w:szCs w:val="20"/>
              </w:rPr>
              <w:t>Not required.</w:t>
            </w:r>
          </w:p>
        </w:tc>
      </w:tr>
      <w:tr w:rsidR="00D66945" w:rsidTr="00A33453">
        <w:tc>
          <w:tcPr>
            <w:tcW w:w="2516" w:type="dxa"/>
          </w:tcPr>
          <w:p w:rsidR="00D66945" w:rsidRPr="00663358" w:rsidRDefault="00D66945" w:rsidP="00A33453">
            <w:pPr>
              <w:rPr>
                <w:rFonts w:eastAsia="Arial Unicode MS" w:cs="Arial"/>
                <w:sz w:val="20"/>
                <w:szCs w:val="20"/>
              </w:rPr>
            </w:pPr>
            <w:r w:rsidRPr="00663358">
              <w:rPr>
                <w:rFonts w:eastAsia="Arial Unicode MS" w:cs="Arial"/>
                <w:sz w:val="20"/>
                <w:szCs w:val="20"/>
              </w:rPr>
              <w:t>Pooled property investments</w:t>
            </w:r>
          </w:p>
        </w:tc>
        <w:tc>
          <w:tcPr>
            <w:tcW w:w="1285" w:type="dxa"/>
          </w:tcPr>
          <w:p w:rsidR="00D66945" w:rsidRPr="00663358" w:rsidRDefault="00D66945" w:rsidP="00A33453">
            <w:pPr>
              <w:jc w:val="center"/>
              <w:rPr>
                <w:rFonts w:eastAsia="Arial Unicode MS" w:cs="Arial"/>
                <w:sz w:val="20"/>
                <w:szCs w:val="20"/>
              </w:rPr>
            </w:pPr>
            <w:r w:rsidRPr="00663358">
              <w:rPr>
                <w:rFonts w:eastAsia="Arial Unicode MS" w:cs="Arial"/>
                <w:sz w:val="20"/>
                <w:szCs w:val="20"/>
              </w:rPr>
              <w:t>Level 3</w:t>
            </w:r>
          </w:p>
        </w:tc>
        <w:tc>
          <w:tcPr>
            <w:tcW w:w="2490" w:type="dxa"/>
          </w:tcPr>
          <w:p w:rsidR="00D66945" w:rsidRPr="00663358" w:rsidRDefault="00D66945" w:rsidP="00A33453">
            <w:pPr>
              <w:rPr>
                <w:rFonts w:eastAsia="Arial Unicode MS" w:cs="Arial"/>
                <w:sz w:val="20"/>
                <w:szCs w:val="20"/>
              </w:rPr>
            </w:pPr>
            <w:r w:rsidRPr="00663358">
              <w:rPr>
                <w:rFonts w:eastAsia="Arial Unicode MS" w:cs="Arial"/>
                <w:sz w:val="20"/>
                <w:szCs w:val="20"/>
              </w:rPr>
              <w:t>Current open market value in accordance with RICS Appraisal and Valuation Standards.</w:t>
            </w:r>
          </w:p>
        </w:tc>
        <w:tc>
          <w:tcPr>
            <w:tcW w:w="1647" w:type="dxa"/>
          </w:tcPr>
          <w:p w:rsidR="00D66945" w:rsidRPr="00663358" w:rsidRDefault="00D66945" w:rsidP="00A33453">
            <w:pPr>
              <w:rPr>
                <w:rFonts w:eastAsia="Arial Unicode MS" w:cs="Arial"/>
                <w:sz w:val="20"/>
                <w:szCs w:val="20"/>
              </w:rPr>
            </w:pPr>
            <w:r w:rsidRPr="00663358">
              <w:rPr>
                <w:rFonts w:eastAsia="Arial Unicode MS" w:cs="Arial"/>
                <w:sz w:val="20"/>
                <w:szCs w:val="20"/>
              </w:rPr>
              <w:t>Unobservable fund net asset value.</w:t>
            </w:r>
          </w:p>
        </w:tc>
        <w:tc>
          <w:tcPr>
            <w:tcW w:w="1650" w:type="dxa"/>
          </w:tcPr>
          <w:p w:rsidR="00D66945" w:rsidRPr="00663358" w:rsidRDefault="00D66945" w:rsidP="00A33453">
            <w:pPr>
              <w:rPr>
                <w:rFonts w:cs="Arial"/>
                <w:sz w:val="20"/>
                <w:szCs w:val="20"/>
              </w:rPr>
            </w:pPr>
            <w:r w:rsidRPr="00663358">
              <w:rPr>
                <w:rFonts w:eastAsia="Arial Unicode MS" w:cs="Arial"/>
                <w:sz w:val="20"/>
                <w:szCs w:val="20"/>
              </w:rPr>
              <w:t>Ability to exit fund; market opinion; general market movements.</w:t>
            </w:r>
          </w:p>
        </w:tc>
      </w:tr>
      <w:tr w:rsidR="00D66945" w:rsidTr="00A33453">
        <w:tc>
          <w:tcPr>
            <w:tcW w:w="2516" w:type="dxa"/>
          </w:tcPr>
          <w:p w:rsidR="00D66945" w:rsidRPr="00663358" w:rsidRDefault="00D66945" w:rsidP="00A33453">
            <w:pPr>
              <w:rPr>
                <w:rFonts w:eastAsia="Arial Unicode MS" w:cs="Arial"/>
                <w:sz w:val="20"/>
                <w:szCs w:val="20"/>
              </w:rPr>
            </w:pPr>
            <w:r w:rsidRPr="00663358">
              <w:rPr>
                <w:rFonts w:eastAsia="Arial Unicode MS" w:cs="Arial"/>
                <w:sz w:val="20"/>
                <w:szCs w:val="20"/>
              </w:rPr>
              <w:t>Private equity, long term credit and infrastructure investments</w:t>
            </w:r>
          </w:p>
        </w:tc>
        <w:tc>
          <w:tcPr>
            <w:tcW w:w="1285" w:type="dxa"/>
          </w:tcPr>
          <w:p w:rsidR="00D66945" w:rsidRPr="00663358" w:rsidRDefault="00D66945" w:rsidP="00A33453">
            <w:pPr>
              <w:jc w:val="center"/>
              <w:rPr>
                <w:rFonts w:eastAsia="Arial Unicode MS" w:cs="Arial"/>
                <w:sz w:val="20"/>
                <w:szCs w:val="20"/>
              </w:rPr>
            </w:pPr>
            <w:r w:rsidRPr="00663358">
              <w:rPr>
                <w:rFonts w:eastAsia="Arial Unicode MS" w:cs="Arial"/>
                <w:sz w:val="20"/>
                <w:szCs w:val="20"/>
              </w:rPr>
              <w:t>Level 3</w:t>
            </w:r>
          </w:p>
        </w:tc>
        <w:tc>
          <w:tcPr>
            <w:tcW w:w="2490" w:type="dxa"/>
          </w:tcPr>
          <w:p w:rsidR="00D66945" w:rsidRPr="00663358" w:rsidRDefault="00D66945" w:rsidP="00A33453">
            <w:pPr>
              <w:rPr>
                <w:rFonts w:eastAsia="Arial Unicode MS" w:cs="Arial"/>
                <w:sz w:val="20"/>
                <w:szCs w:val="20"/>
              </w:rPr>
            </w:pPr>
            <w:r w:rsidRPr="00663358">
              <w:rPr>
                <w:rFonts w:eastAsia="Arial Unicode MS" w:cs="Arial"/>
                <w:sz w:val="20"/>
                <w:szCs w:val="20"/>
              </w:rPr>
              <w:t xml:space="preserve">Annually at fair value in accordance with International Private Equity and Venture Capital Valuation Guidelines 2012 or equivalent.  </w:t>
            </w:r>
          </w:p>
        </w:tc>
        <w:tc>
          <w:tcPr>
            <w:tcW w:w="1647" w:type="dxa"/>
          </w:tcPr>
          <w:p w:rsidR="00D66945" w:rsidRPr="00663358" w:rsidRDefault="00D66945" w:rsidP="00A33453">
            <w:pPr>
              <w:rPr>
                <w:rFonts w:eastAsia="Arial Unicode MS" w:cs="Arial"/>
                <w:sz w:val="20"/>
                <w:szCs w:val="20"/>
              </w:rPr>
            </w:pPr>
            <w:r w:rsidRPr="00663358">
              <w:rPr>
                <w:rFonts w:eastAsia="Arial Unicode MS" w:cs="Arial"/>
                <w:sz w:val="20"/>
                <w:szCs w:val="20"/>
              </w:rPr>
              <w:t>Discount rates, cash flow projections.</w:t>
            </w:r>
          </w:p>
        </w:tc>
        <w:tc>
          <w:tcPr>
            <w:tcW w:w="1650" w:type="dxa"/>
          </w:tcPr>
          <w:p w:rsidR="00D66945" w:rsidRPr="00663358" w:rsidRDefault="00D66945" w:rsidP="00A33453">
            <w:pPr>
              <w:rPr>
                <w:rFonts w:eastAsia="Arial Unicode MS" w:cs="Arial"/>
                <w:sz w:val="20"/>
                <w:szCs w:val="20"/>
              </w:rPr>
            </w:pPr>
            <w:r w:rsidRPr="00663358">
              <w:rPr>
                <w:rFonts w:cs="Arial"/>
                <w:sz w:val="20"/>
                <w:szCs w:val="20"/>
              </w:rPr>
              <w:t>Material events occurring between the date of the financial statements provided and the pension fund’s own reporting date; changes to expected cash flows; differences between audited and unaudited accounts</w:t>
            </w:r>
          </w:p>
        </w:tc>
      </w:tr>
    </w:tbl>
    <w:p w:rsidR="00D66945" w:rsidRPr="007828C4" w:rsidRDefault="00D66945" w:rsidP="00D66945">
      <w:pPr>
        <w:rPr>
          <w:rFonts w:eastAsia="Arial Unicode MS" w:cs="Arial"/>
          <w:sz w:val="22"/>
          <w:szCs w:val="22"/>
        </w:rPr>
      </w:pPr>
    </w:p>
    <w:p w:rsidR="00D66945"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6</w:t>
      </w:r>
      <w:r w:rsidRPr="007828C4">
        <w:rPr>
          <w:rFonts w:eastAsia="Arial Unicode MS" w:cs="Arial"/>
          <w:b/>
          <w:sz w:val="32"/>
          <w:szCs w:val="22"/>
        </w:rPr>
        <w:t>.1.</w:t>
      </w:r>
      <w:r>
        <w:rPr>
          <w:rFonts w:eastAsia="Arial Unicode MS" w:cs="Arial"/>
          <w:b/>
          <w:sz w:val="32"/>
          <w:szCs w:val="22"/>
        </w:rPr>
        <w:t>6</w:t>
      </w:r>
      <w:r w:rsidRPr="007828C4">
        <w:rPr>
          <w:rFonts w:eastAsia="Arial Unicode MS" w:cs="Arial"/>
          <w:b/>
          <w:sz w:val="32"/>
          <w:szCs w:val="22"/>
        </w:rPr>
        <w:t xml:space="preserve"> Reconciliation of fair value measurements within level 3</w:t>
      </w:r>
    </w:p>
    <w:p w:rsidR="00D66945" w:rsidRPr="007828C4" w:rsidRDefault="00D66945" w:rsidP="00D66945">
      <w:pPr>
        <w:rPr>
          <w:rFonts w:eastAsia="Arial Unicode MS" w:cs="Arial"/>
          <w:b/>
          <w:sz w:val="32"/>
          <w:szCs w:val="22"/>
        </w:rPr>
      </w:pPr>
    </w:p>
    <w:tbl>
      <w:tblPr>
        <w:tblStyle w:val="TableGrid4"/>
        <w:tblW w:w="963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5841"/>
        <w:gridCol w:w="3793"/>
      </w:tblGrid>
      <w:tr w:rsidR="00D66945" w:rsidRPr="007828C4" w:rsidTr="00A33453">
        <w:tc>
          <w:tcPr>
            <w:tcW w:w="5841" w:type="dxa"/>
          </w:tcPr>
          <w:p w:rsidR="00D66945" w:rsidRPr="007828C4" w:rsidRDefault="00D66945" w:rsidP="00A33453">
            <w:pPr>
              <w:rPr>
                <w:rFonts w:eastAsia="Arial Unicode MS" w:cs="Arial"/>
                <w:sz w:val="20"/>
                <w:szCs w:val="20"/>
              </w:rPr>
            </w:pPr>
          </w:p>
        </w:tc>
        <w:tc>
          <w:tcPr>
            <w:tcW w:w="3793" w:type="dxa"/>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Financial assets at fair value through profit and loss</w:t>
            </w:r>
          </w:p>
        </w:tc>
      </w:tr>
      <w:tr w:rsidR="00D66945" w:rsidRPr="007828C4" w:rsidTr="00A33453">
        <w:tc>
          <w:tcPr>
            <w:tcW w:w="5841" w:type="dxa"/>
          </w:tcPr>
          <w:p w:rsidR="00D66945" w:rsidRPr="007828C4" w:rsidRDefault="00D66945" w:rsidP="00A33453">
            <w:pPr>
              <w:rPr>
                <w:rFonts w:eastAsia="Arial Unicode MS" w:cs="Arial"/>
                <w:sz w:val="20"/>
                <w:szCs w:val="20"/>
              </w:rPr>
            </w:pPr>
          </w:p>
        </w:tc>
        <w:tc>
          <w:tcPr>
            <w:tcW w:w="3793" w:type="dxa"/>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349"/>
        </w:trPr>
        <w:tc>
          <w:tcPr>
            <w:tcW w:w="5841" w:type="dxa"/>
            <w:shd w:val="clear" w:color="auto" w:fill="E7E6E6" w:themeFill="background2"/>
          </w:tcPr>
          <w:p w:rsidR="00D66945" w:rsidRPr="007828C4" w:rsidRDefault="00D66945" w:rsidP="00A33453">
            <w:pPr>
              <w:rPr>
                <w:rFonts w:eastAsia="Arial Unicode MS" w:cs="Arial"/>
                <w:b/>
                <w:sz w:val="20"/>
                <w:szCs w:val="20"/>
              </w:rPr>
            </w:pPr>
            <w:r w:rsidRPr="007828C4">
              <w:rPr>
                <w:rFonts w:eastAsia="Arial Unicode MS" w:cs="Arial"/>
                <w:b/>
                <w:bCs/>
                <w:sz w:val="20"/>
                <w:szCs w:val="20"/>
              </w:rPr>
              <w:t>Market value 1 April 201</w:t>
            </w:r>
            <w:r>
              <w:rPr>
                <w:rFonts w:eastAsia="Arial Unicode MS" w:cs="Arial"/>
                <w:b/>
                <w:bCs/>
                <w:sz w:val="20"/>
                <w:szCs w:val="20"/>
              </w:rPr>
              <w:t>7</w:t>
            </w:r>
          </w:p>
        </w:tc>
        <w:tc>
          <w:tcPr>
            <w:tcW w:w="3793" w:type="dxa"/>
            <w:shd w:val="clear" w:color="auto" w:fill="E7E6E6" w:themeFill="background2"/>
          </w:tcPr>
          <w:p w:rsidR="00D66945" w:rsidRPr="007828C4" w:rsidRDefault="00D66945" w:rsidP="00A33453">
            <w:pPr>
              <w:jc w:val="right"/>
              <w:rPr>
                <w:rFonts w:eastAsia="Arial Unicode MS" w:cs="Arial"/>
                <w:b/>
                <w:sz w:val="20"/>
                <w:szCs w:val="20"/>
              </w:rPr>
            </w:pPr>
            <w:r w:rsidRPr="007828C4">
              <w:rPr>
                <w:rFonts w:eastAsia="Arial Unicode MS" w:cs="Arial"/>
                <w:b/>
                <w:sz w:val="20"/>
                <w:szCs w:val="20"/>
              </w:rPr>
              <w:t>2,789.5</w:t>
            </w:r>
          </w:p>
        </w:tc>
      </w:tr>
      <w:tr w:rsidR="00D66945" w:rsidRPr="007828C4" w:rsidTr="00A33453">
        <w:trPr>
          <w:trHeight w:val="411"/>
        </w:trPr>
        <w:tc>
          <w:tcPr>
            <w:tcW w:w="5841" w:type="dxa"/>
          </w:tcPr>
          <w:p w:rsidR="00D66945" w:rsidRPr="007828C4" w:rsidRDefault="00D66945" w:rsidP="00A33453">
            <w:pPr>
              <w:rPr>
                <w:rFonts w:eastAsia="Arial Unicode MS" w:cs="Arial"/>
                <w:sz w:val="20"/>
                <w:szCs w:val="20"/>
              </w:rPr>
            </w:pPr>
            <w:r w:rsidRPr="007828C4">
              <w:rPr>
                <w:rFonts w:eastAsia="Arial Unicode MS" w:cs="Arial"/>
                <w:bCs/>
                <w:sz w:val="20"/>
                <w:szCs w:val="20"/>
              </w:rPr>
              <w:t>Purchases during the year and derivative payments</w:t>
            </w:r>
          </w:p>
        </w:tc>
        <w:tc>
          <w:tcPr>
            <w:tcW w:w="3793" w:type="dxa"/>
          </w:tcPr>
          <w:p w:rsidR="00D66945" w:rsidRPr="00D50749" w:rsidRDefault="00D66945" w:rsidP="00A33453">
            <w:pPr>
              <w:jc w:val="right"/>
              <w:rPr>
                <w:rFonts w:eastAsia="Arial Unicode MS" w:cs="Arial"/>
                <w:sz w:val="20"/>
                <w:szCs w:val="20"/>
                <w:highlight w:val="yellow"/>
              </w:rPr>
            </w:pPr>
            <w:r w:rsidRPr="00D50749">
              <w:rPr>
                <w:rFonts w:eastAsia="Arial Unicode MS" w:cs="Arial"/>
                <w:sz w:val="20"/>
                <w:szCs w:val="20"/>
              </w:rPr>
              <w:t>2,613.1</w:t>
            </w:r>
          </w:p>
        </w:tc>
      </w:tr>
      <w:tr w:rsidR="00D66945" w:rsidRPr="007828C4" w:rsidTr="00A33453">
        <w:trPr>
          <w:trHeight w:val="418"/>
        </w:trPr>
        <w:tc>
          <w:tcPr>
            <w:tcW w:w="5841" w:type="dxa"/>
          </w:tcPr>
          <w:p w:rsidR="00D66945" w:rsidRPr="007828C4" w:rsidRDefault="00D66945" w:rsidP="00A33453">
            <w:pPr>
              <w:rPr>
                <w:rFonts w:eastAsia="Arial Unicode MS" w:cs="Arial"/>
                <w:sz w:val="20"/>
                <w:szCs w:val="20"/>
              </w:rPr>
            </w:pPr>
            <w:r w:rsidRPr="007828C4">
              <w:rPr>
                <w:rFonts w:eastAsia="Arial Unicode MS" w:cs="Arial"/>
                <w:bCs/>
                <w:sz w:val="20"/>
                <w:szCs w:val="20"/>
              </w:rPr>
              <w:t>Sales during the year and derivative receipts</w:t>
            </w:r>
          </w:p>
        </w:tc>
        <w:tc>
          <w:tcPr>
            <w:tcW w:w="3793" w:type="dxa"/>
          </w:tcPr>
          <w:p w:rsidR="00D66945" w:rsidRPr="00D50749" w:rsidRDefault="00D66945" w:rsidP="00A33453">
            <w:pPr>
              <w:jc w:val="right"/>
              <w:rPr>
                <w:rFonts w:eastAsia="Arial Unicode MS" w:cs="Arial"/>
                <w:sz w:val="20"/>
                <w:szCs w:val="20"/>
              </w:rPr>
            </w:pPr>
            <w:r w:rsidRPr="00D50749">
              <w:rPr>
                <w:rFonts w:eastAsia="Arial Unicode MS" w:cs="Arial"/>
                <w:sz w:val="20"/>
                <w:szCs w:val="20"/>
              </w:rPr>
              <w:t>(2,288.3)</w:t>
            </w:r>
          </w:p>
        </w:tc>
      </w:tr>
      <w:tr w:rsidR="00D66945" w:rsidRPr="007828C4" w:rsidTr="00A33453">
        <w:trPr>
          <w:trHeight w:val="421"/>
        </w:trPr>
        <w:tc>
          <w:tcPr>
            <w:tcW w:w="5841" w:type="dxa"/>
          </w:tcPr>
          <w:p w:rsidR="00D66945" w:rsidRPr="007828C4" w:rsidRDefault="00D66945" w:rsidP="00A33453">
            <w:pPr>
              <w:rPr>
                <w:rFonts w:eastAsia="Arial Unicode MS" w:cs="Arial"/>
                <w:bCs/>
                <w:sz w:val="20"/>
                <w:szCs w:val="20"/>
              </w:rPr>
            </w:pPr>
            <w:r>
              <w:rPr>
                <w:rFonts w:eastAsia="Arial Unicode MS" w:cs="Arial"/>
                <w:bCs/>
                <w:sz w:val="20"/>
                <w:szCs w:val="20"/>
              </w:rPr>
              <w:t>Transfers out of level 3</w:t>
            </w:r>
          </w:p>
        </w:tc>
        <w:tc>
          <w:tcPr>
            <w:tcW w:w="3793" w:type="dxa"/>
          </w:tcPr>
          <w:p w:rsidR="00D66945" w:rsidRPr="00D50749" w:rsidRDefault="00D66945" w:rsidP="00A33453">
            <w:pPr>
              <w:jc w:val="right"/>
              <w:rPr>
                <w:rFonts w:eastAsia="Arial Unicode MS" w:cs="Arial"/>
                <w:sz w:val="20"/>
                <w:szCs w:val="20"/>
              </w:rPr>
            </w:pPr>
            <w:r w:rsidRPr="00D50749">
              <w:rPr>
                <w:rFonts w:eastAsia="Arial Unicode MS" w:cs="Arial"/>
                <w:sz w:val="20"/>
                <w:szCs w:val="20"/>
              </w:rPr>
              <w:t>(15.0)</w:t>
            </w:r>
          </w:p>
        </w:tc>
      </w:tr>
      <w:tr w:rsidR="00D66945" w:rsidRPr="007828C4" w:rsidTr="00A33453">
        <w:trPr>
          <w:trHeight w:val="421"/>
        </w:trPr>
        <w:tc>
          <w:tcPr>
            <w:tcW w:w="5841" w:type="dxa"/>
          </w:tcPr>
          <w:p w:rsidR="00D66945" w:rsidRPr="007828C4" w:rsidRDefault="00D66945" w:rsidP="00A33453">
            <w:pPr>
              <w:rPr>
                <w:rFonts w:eastAsia="Arial Unicode MS" w:cs="Arial"/>
                <w:sz w:val="20"/>
                <w:szCs w:val="20"/>
              </w:rPr>
            </w:pPr>
            <w:r w:rsidRPr="007828C4">
              <w:rPr>
                <w:rFonts w:eastAsia="Arial Unicode MS" w:cs="Arial"/>
                <w:bCs/>
                <w:sz w:val="20"/>
                <w:szCs w:val="20"/>
              </w:rPr>
              <w:t xml:space="preserve">Unrealised </w:t>
            </w:r>
            <w:r>
              <w:rPr>
                <w:rFonts w:eastAsia="Arial Unicode MS" w:cs="Arial"/>
                <w:bCs/>
                <w:sz w:val="20"/>
                <w:szCs w:val="20"/>
              </w:rPr>
              <w:t>losses</w:t>
            </w:r>
            <w:r w:rsidRPr="007828C4">
              <w:rPr>
                <w:rFonts w:eastAsia="Arial Unicode MS" w:cs="Arial"/>
                <w:bCs/>
                <w:sz w:val="20"/>
                <w:szCs w:val="20"/>
              </w:rPr>
              <w:t xml:space="preserve"> </w:t>
            </w:r>
          </w:p>
        </w:tc>
        <w:tc>
          <w:tcPr>
            <w:tcW w:w="3793" w:type="dxa"/>
          </w:tcPr>
          <w:p w:rsidR="00D66945" w:rsidRPr="00D50749" w:rsidRDefault="00D66945" w:rsidP="00A33453">
            <w:pPr>
              <w:jc w:val="right"/>
              <w:rPr>
                <w:rFonts w:eastAsia="Arial Unicode MS" w:cs="Arial"/>
                <w:sz w:val="20"/>
                <w:szCs w:val="20"/>
              </w:rPr>
            </w:pPr>
            <w:r w:rsidRPr="00D50749">
              <w:rPr>
                <w:rFonts w:eastAsia="Arial Unicode MS" w:cs="Arial"/>
                <w:sz w:val="20"/>
                <w:szCs w:val="20"/>
              </w:rPr>
              <w:t>(202.1)</w:t>
            </w:r>
          </w:p>
        </w:tc>
      </w:tr>
      <w:tr w:rsidR="00D66945" w:rsidRPr="007828C4" w:rsidTr="00A33453">
        <w:trPr>
          <w:trHeight w:val="399"/>
        </w:trPr>
        <w:tc>
          <w:tcPr>
            <w:tcW w:w="5841" w:type="dxa"/>
          </w:tcPr>
          <w:p w:rsidR="00D66945" w:rsidRPr="007828C4" w:rsidRDefault="00D66945" w:rsidP="00A33453">
            <w:pPr>
              <w:rPr>
                <w:rFonts w:eastAsia="Arial Unicode MS" w:cs="Arial"/>
                <w:sz w:val="20"/>
                <w:szCs w:val="20"/>
              </w:rPr>
            </w:pPr>
            <w:r w:rsidRPr="007828C4">
              <w:rPr>
                <w:rFonts w:eastAsia="Arial Unicode MS" w:cs="Arial"/>
                <w:bCs/>
                <w:sz w:val="20"/>
                <w:szCs w:val="20"/>
              </w:rPr>
              <w:t xml:space="preserve">Realised gains </w:t>
            </w:r>
          </w:p>
        </w:tc>
        <w:tc>
          <w:tcPr>
            <w:tcW w:w="3793" w:type="dxa"/>
          </w:tcPr>
          <w:p w:rsidR="00D66945" w:rsidRPr="00D50749" w:rsidRDefault="00D66945" w:rsidP="00A33453">
            <w:pPr>
              <w:jc w:val="right"/>
              <w:rPr>
                <w:rFonts w:eastAsia="Arial Unicode MS" w:cs="Arial"/>
                <w:sz w:val="20"/>
                <w:szCs w:val="20"/>
              </w:rPr>
            </w:pPr>
            <w:r w:rsidRPr="00D50749">
              <w:rPr>
                <w:rFonts w:eastAsia="Arial Unicode MS" w:cs="Arial"/>
                <w:sz w:val="20"/>
                <w:szCs w:val="20"/>
              </w:rPr>
              <w:t>319.2</w:t>
            </w:r>
          </w:p>
        </w:tc>
      </w:tr>
      <w:tr w:rsidR="00D66945" w:rsidRPr="007828C4" w:rsidTr="00A33453">
        <w:tc>
          <w:tcPr>
            <w:tcW w:w="5841" w:type="dxa"/>
            <w:shd w:val="clear" w:color="auto" w:fill="E7E6E6" w:themeFill="background2"/>
          </w:tcPr>
          <w:p w:rsidR="00D66945" w:rsidRDefault="00D66945" w:rsidP="00A33453">
            <w:pPr>
              <w:rPr>
                <w:rFonts w:eastAsia="Arial Unicode MS" w:cs="Arial"/>
                <w:b/>
                <w:bCs/>
                <w:sz w:val="20"/>
                <w:szCs w:val="20"/>
              </w:rPr>
            </w:pPr>
            <w:r w:rsidRPr="007828C4">
              <w:rPr>
                <w:rFonts w:eastAsia="Arial Unicode MS" w:cs="Arial"/>
                <w:b/>
                <w:bCs/>
                <w:sz w:val="20"/>
                <w:szCs w:val="20"/>
              </w:rPr>
              <w:t xml:space="preserve">Market value 31 March </w:t>
            </w:r>
            <w:r>
              <w:rPr>
                <w:rFonts w:eastAsia="Arial Unicode MS" w:cs="Arial"/>
                <w:b/>
                <w:bCs/>
                <w:sz w:val="20"/>
                <w:szCs w:val="20"/>
              </w:rPr>
              <w:t>2018</w:t>
            </w:r>
          </w:p>
          <w:p w:rsidR="00D66945" w:rsidRPr="007828C4" w:rsidRDefault="00D66945" w:rsidP="00A33453">
            <w:pPr>
              <w:rPr>
                <w:rFonts w:eastAsia="Arial Unicode MS" w:cs="Arial"/>
                <w:b/>
                <w:sz w:val="20"/>
                <w:szCs w:val="20"/>
              </w:rPr>
            </w:pPr>
          </w:p>
        </w:tc>
        <w:tc>
          <w:tcPr>
            <w:tcW w:w="3793" w:type="dxa"/>
            <w:shd w:val="clear" w:color="auto" w:fill="E7E6E6" w:themeFill="background2"/>
          </w:tcPr>
          <w:p w:rsidR="00D66945" w:rsidRPr="007828C4" w:rsidRDefault="00D66945" w:rsidP="00A33453">
            <w:pPr>
              <w:jc w:val="right"/>
              <w:rPr>
                <w:rFonts w:eastAsia="Arial Unicode MS" w:cs="Arial"/>
                <w:b/>
                <w:sz w:val="20"/>
                <w:szCs w:val="20"/>
              </w:rPr>
            </w:pPr>
            <w:r>
              <w:rPr>
                <w:rFonts w:eastAsia="Arial Unicode MS" w:cs="Arial"/>
                <w:b/>
                <w:sz w:val="20"/>
                <w:szCs w:val="20"/>
              </w:rPr>
              <w:t>3,216.4</w:t>
            </w:r>
          </w:p>
        </w:tc>
      </w:tr>
    </w:tbl>
    <w:p w:rsidR="00D66945" w:rsidRDefault="00D66945" w:rsidP="00D66945">
      <w:pPr>
        <w:tabs>
          <w:tab w:val="left" w:pos="1080"/>
        </w:tabs>
        <w:ind w:left="709"/>
        <w:rPr>
          <w:rFonts w:eastAsia="Arial Unicode MS" w:cs="Arial"/>
          <w:sz w:val="22"/>
          <w:szCs w:val="22"/>
        </w:rPr>
      </w:pPr>
    </w:p>
    <w:p w:rsidR="00663358" w:rsidRPr="007828C4" w:rsidRDefault="00663358" w:rsidP="00D66945">
      <w:pPr>
        <w:tabs>
          <w:tab w:val="left" w:pos="1080"/>
        </w:tabs>
        <w:ind w:left="709"/>
        <w:rPr>
          <w:rFonts w:eastAsia="Arial Unicode MS" w:cs="Arial"/>
          <w:sz w:val="20"/>
          <w:szCs w:val="20"/>
        </w:rPr>
      </w:pPr>
    </w:p>
    <w:p w:rsidR="00D66945" w:rsidRPr="007828C4"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 NATURE AND EXTENT OF RISKS ARISING FROM FINANCIAL INSTRUMENTS</w:t>
      </w:r>
    </w:p>
    <w:p w:rsidR="00D66945" w:rsidRPr="007828C4" w:rsidRDefault="00D66945" w:rsidP="00D66945">
      <w:pPr>
        <w:ind w:firstLine="720"/>
        <w:rPr>
          <w:rFonts w:eastAsia="Arial Unicode MS" w:cs="Arial"/>
          <w:szCs w:val="22"/>
        </w:rPr>
      </w:pPr>
    </w:p>
    <w:p w:rsidR="00D66945" w:rsidRPr="007828C4"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 xml:space="preserve">.1 Risk and risk management </w:t>
      </w:r>
    </w:p>
    <w:p w:rsidR="00D66945" w:rsidRPr="007828C4" w:rsidRDefault="00D66945" w:rsidP="00D66945">
      <w:pPr>
        <w:ind w:left="720"/>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Fund's primary long-term risk is that the Fund's assets will fall short of its liabilities (i.e. promised benefits payable to members).  The aim of investment risk management is to balance the minimisation of the risk of an overall reduction in the value of the Fund with maximising the opportunity for gains across the whole Fund portfolio.  The Fund achieves this through asset diversification to reduce exposure to market risk (price risk, currency risk and interest rate risk) and keep credit risk to an acceptable level.  In addition, the Fund manages its liquidity risk to ensure there is sufficient liquidity to meet the Fund's forecast cash flow.  </w:t>
      </w:r>
    </w:p>
    <w:p w:rsidR="00D66945" w:rsidRPr="007828C4" w:rsidRDefault="00D66945" w:rsidP="00D66945">
      <w:pPr>
        <w:rPr>
          <w:rFonts w:eastAsia="Arial Unicode MS" w:cs="Arial"/>
          <w:sz w:val="22"/>
          <w:szCs w:val="22"/>
        </w:rPr>
      </w:pPr>
      <w:r w:rsidRPr="007828C4">
        <w:rPr>
          <w:rFonts w:eastAsia="Arial Unicode MS" w:cs="Arial"/>
          <w:sz w:val="22"/>
          <w:szCs w:val="22"/>
        </w:rPr>
        <w:t>Responsibility for the Fund's risk management strategy rests with the Pension Fund Committee.  Risk management policies are established to identify and analyse the risks faced by the Fund's operations.  Policies are reviewed regularly to reflect change in activity and in market conditions.</w:t>
      </w:r>
    </w:p>
    <w:p w:rsidR="00D66945" w:rsidRPr="007828C4" w:rsidRDefault="00D66945" w:rsidP="00D66945">
      <w:pPr>
        <w:tabs>
          <w:tab w:val="left" w:pos="1080"/>
        </w:tabs>
        <w:ind w:left="709"/>
        <w:rPr>
          <w:rFonts w:eastAsia="Arial Unicode MS" w:cs="Arial"/>
          <w:sz w:val="22"/>
          <w:szCs w:val="22"/>
        </w:rPr>
      </w:pPr>
    </w:p>
    <w:p w:rsidR="00D66945" w:rsidRPr="007828C4"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 xml:space="preserve">.2 Market risk </w:t>
      </w:r>
    </w:p>
    <w:p w:rsidR="00D66945" w:rsidRPr="007828C4" w:rsidRDefault="00D66945" w:rsidP="00D66945">
      <w:pPr>
        <w:ind w:firstLine="709"/>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Market risk is risk of loss from fluctuations in equity and commodity prices, interest and foreign exchange rates and credit spreads.  The Fund is exposed to market risk from its investment activities, particularly through its equity holdings.  </w:t>
      </w:r>
    </w:p>
    <w:p w:rsidR="00D66945" w:rsidRPr="007828C4" w:rsidRDefault="00D66945" w:rsidP="00D66945">
      <w:pPr>
        <w:ind w:left="709"/>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The objective of the Fund's risk management strategy is to identify, manage and keep market risk exposure within acceptable parameters, whilst optimising the return on risk.</w:t>
      </w:r>
    </w:p>
    <w:p w:rsidR="00D66945" w:rsidRDefault="00D66945" w:rsidP="00D66945">
      <w:pPr>
        <w:rPr>
          <w:rFonts w:eastAsia="Arial Unicode MS" w:cs="Arial"/>
          <w:sz w:val="22"/>
          <w:szCs w:val="22"/>
        </w:rPr>
      </w:pPr>
      <w:r w:rsidRPr="007828C4">
        <w:rPr>
          <w:rFonts w:eastAsia="Arial Unicode MS" w:cs="Arial"/>
          <w:sz w:val="22"/>
          <w:szCs w:val="22"/>
        </w:rPr>
        <w:t xml:space="preserve">In general, excessive volatility in market risk is managed through the diversification of the portfolio in terms of geographical and industry sectors and individual securities.  To mitigate market risk, the Fund and its investment advisors undertake appropriate monitoring of market conditions and benchmarking analysis. </w:t>
      </w:r>
    </w:p>
    <w:p w:rsidR="00D66945" w:rsidRPr="007828C4" w:rsidRDefault="00D66945" w:rsidP="00D66945">
      <w:pPr>
        <w:ind w:left="720"/>
        <w:rPr>
          <w:rFonts w:eastAsia="Arial Unicode MS" w:cs="Arial"/>
          <w:b/>
          <w:sz w:val="22"/>
          <w:szCs w:val="22"/>
        </w:rPr>
      </w:pPr>
    </w:p>
    <w:p w:rsidR="00D66945" w:rsidRPr="007828C4"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 xml:space="preserve">.3 Other price risk  </w:t>
      </w:r>
    </w:p>
    <w:p w:rsidR="00D66945" w:rsidRPr="007828C4" w:rsidRDefault="00D66945" w:rsidP="00D66945">
      <w:pPr>
        <w:ind w:left="720"/>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Other price risk represents the risk that the value of a financial instrument will fluctuate as a result of changes in market prices (other than those arising from interest rate risk or foreign exchange risk), whether those changes are caused by factors specific to the individual instrument or its issuer or factors affecting all such instruments in the market.     </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Fund is exposed to share and derivatives price risk.  This arises from investments held by the Fund for which the future price is uncertain.  All securities investments present a risk of loss of capital.  </w:t>
      </w:r>
    </w:p>
    <w:p w:rsidR="00D66945" w:rsidRPr="007828C4" w:rsidRDefault="00D66945" w:rsidP="00D66945">
      <w:pPr>
        <w:rPr>
          <w:rFonts w:eastAsia="Arial Unicode MS" w:cs="Arial"/>
          <w:sz w:val="22"/>
          <w:szCs w:val="22"/>
        </w:rPr>
      </w:pPr>
      <w:r w:rsidRPr="007828C4">
        <w:rPr>
          <w:rFonts w:eastAsia="Arial Unicode MS" w:cs="Arial"/>
          <w:sz w:val="22"/>
          <w:szCs w:val="22"/>
        </w:rPr>
        <w:t>The Fund's investment managers mitigate this price risk through diversification.  The selection of securities and other financial instruments is monitored by the Fund to ensure it is within limits specified in the fund investment strategy.</w:t>
      </w:r>
    </w:p>
    <w:p w:rsidR="00D66945" w:rsidRPr="007828C4" w:rsidRDefault="00D66945" w:rsidP="00D66945">
      <w:pPr>
        <w:ind w:left="720"/>
        <w:rPr>
          <w:rFonts w:eastAsia="Arial Unicode MS" w:cs="Arial"/>
          <w:sz w:val="22"/>
          <w:szCs w:val="22"/>
        </w:rPr>
      </w:pPr>
      <w:r w:rsidRPr="007828C4">
        <w:rPr>
          <w:rFonts w:eastAsia="Arial Unicode MS" w:cs="Arial"/>
          <w:sz w:val="22"/>
          <w:szCs w:val="22"/>
        </w:rPr>
        <w:t xml:space="preserve"> </w:t>
      </w:r>
    </w:p>
    <w:p w:rsidR="00D66945" w:rsidRPr="007828C4" w:rsidRDefault="00D66945" w:rsidP="00D66945">
      <w:pPr>
        <w:ind w:left="720" w:hanging="720"/>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.3.1 Other price risk – sensitivity analysis</w:t>
      </w:r>
    </w:p>
    <w:p w:rsidR="00D66945" w:rsidRPr="007828C4" w:rsidRDefault="00D66945" w:rsidP="00D66945">
      <w:pPr>
        <w:rPr>
          <w:rFonts w:eastAsia="Arial Unicode MS" w:cs="Arial"/>
          <w:b/>
          <w:sz w:val="28"/>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Following analysis of historical data and expected investment return movement during the financial year, in consultation with the Fund's investment advisors, the Fund has determined that the following movements in market price risks are reasonably possible for the </w:t>
      </w:r>
      <w:r>
        <w:rPr>
          <w:rFonts w:eastAsia="Arial Unicode MS" w:cs="Arial"/>
          <w:sz w:val="22"/>
          <w:szCs w:val="22"/>
        </w:rPr>
        <w:t>2017/18</w:t>
      </w:r>
      <w:r w:rsidRPr="007828C4">
        <w:rPr>
          <w:rFonts w:eastAsia="Arial Unicode MS" w:cs="Arial"/>
          <w:sz w:val="22"/>
          <w:szCs w:val="22"/>
        </w:rPr>
        <w:t xml:space="preserve"> reporting period. </w:t>
      </w:r>
    </w:p>
    <w:p w:rsidR="00D66945" w:rsidRPr="007828C4" w:rsidRDefault="00D66945" w:rsidP="00D66945">
      <w:pPr>
        <w:tabs>
          <w:tab w:val="left" w:pos="1080"/>
        </w:tabs>
        <w:ind w:left="709"/>
        <w:rPr>
          <w:rFonts w:eastAsia="Arial Unicode MS" w:cs="Arial"/>
          <w:sz w:val="22"/>
          <w:szCs w:val="22"/>
        </w:rPr>
      </w:pPr>
    </w:p>
    <w:tbl>
      <w:tblPr>
        <w:tblStyle w:val="TableGrid2"/>
        <w:tblW w:w="0" w:type="auto"/>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5951"/>
        <w:gridCol w:w="3640"/>
      </w:tblGrid>
      <w:tr w:rsidR="00D66945" w:rsidRPr="007828C4" w:rsidTr="00A33453">
        <w:trPr>
          <w:trHeight w:val="431"/>
        </w:trPr>
        <w:tc>
          <w:tcPr>
            <w:tcW w:w="5954" w:type="dxa"/>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Asset type</w:t>
            </w:r>
          </w:p>
        </w:tc>
        <w:tc>
          <w:tcPr>
            <w:tcW w:w="364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Potential market movements (+/-)</w:t>
            </w:r>
          </w:p>
        </w:tc>
      </w:tr>
      <w:tr w:rsidR="00D66945" w:rsidRPr="007828C4" w:rsidTr="00A33453">
        <w:trPr>
          <w:trHeight w:val="431"/>
        </w:trPr>
        <w:tc>
          <w:tcPr>
            <w:tcW w:w="5954" w:type="dxa"/>
            <w:shd w:val="clear" w:color="auto" w:fill="auto"/>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bonds (including index linked)</w:t>
            </w:r>
          </w:p>
        </w:tc>
        <w:tc>
          <w:tcPr>
            <w:tcW w:w="3641" w:type="dxa"/>
            <w:shd w:val="clear" w:color="auto" w:fill="auto"/>
          </w:tcPr>
          <w:p w:rsidR="00D66945" w:rsidRPr="007828C4" w:rsidRDefault="00D66945" w:rsidP="00A33453">
            <w:pPr>
              <w:tabs>
                <w:tab w:val="left" w:pos="1080"/>
              </w:tabs>
              <w:ind w:left="2129" w:hanging="142"/>
              <w:jc w:val="right"/>
              <w:rPr>
                <w:rFonts w:eastAsia="Arial Unicode MS" w:cs="Arial"/>
                <w:sz w:val="20"/>
                <w:szCs w:val="22"/>
              </w:rPr>
            </w:pPr>
            <w:r>
              <w:rPr>
                <w:rFonts w:eastAsia="Arial Unicode MS" w:cs="Arial"/>
                <w:sz w:val="20"/>
                <w:szCs w:val="22"/>
              </w:rPr>
              <w:t>7.2</w:t>
            </w:r>
            <w:r w:rsidRPr="007828C4">
              <w:rPr>
                <w:rFonts w:eastAsia="Arial Unicode MS" w:cs="Arial"/>
                <w:sz w:val="20"/>
                <w:szCs w:val="22"/>
              </w:rPr>
              <w:t>%</w:t>
            </w:r>
          </w:p>
        </w:tc>
      </w:tr>
      <w:tr w:rsidR="00D66945" w:rsidRPr="007828C4" w:rsidTr="00A33453">
        <w:trPr>
          <w:trHeight w:val="385"/>
        </w:trPr>
        <w:tc>
          <w:tcPr>
            <w:tcW w:w="5954" w:type="dxa"/>
            <w:shd w:val="clear" w:color="auto" w:fill="auto"/>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equities</w:t>
            </w:r>
          </w:p>
        </w:tc>
        <w:tc>
          <w:tcPr>
            <w:tcW w:w="3641" w:type="dxa"/>
            <w:shd w:val="clear" w:color="auto" w:fill="auto"/>
          </w:tcPr>
          <w:p w:rsidR="00D66945" w:rsidRPr="007828C4" w:rsidRDefault="00D66945" w:rsidP="00A33453">
            <w:pPr>
              <w:tabs>
                <w:tab w:val="left" w:pos="1080"/>
              </w:tabs>
              <w:ind w:left="1987"/>
              <w:jc w:val="right"/>
              <w:rPr>
                <w:rFonts w:eastAsia="Arial Unicode MS" w:cs="Arial"/>
                <w:sz w:val="20"/>
                <w:szCs w:val="22"/>
              </w:rPr>
            </w:pPr>
            <w:r w:rsidRPr="007828C4">
              <w:rPr>
                <w:rFonts w:eastAsia="Arial Unicode MS" w:cs="Arial"/>
                <w:sz w:val="20"/>
                <w:szCs w:val="22"/>
              </w:rPr>
              <w:t>9.6%</w:t>
            </w:r>
          </w:p>
        </w:tc>
      </w:tr>
      <w:tr w:rsidR="00D66945" w:rsidRPr="007828C4" w:rsidTr="00A33453">
        <w:trPr>
          <w:trHeight w:val="431"/>
        </w:trPr>
        <w:tc>
          <w:tcPr>
            <w:tcW w:w="5954" w:type="dxa"/>
            <w:shd w:val="clear" w:color="auto" w:fill="auto"/>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Alternatives</w:t>
            </w:r>
          </w:p>
        </w:tc>
        <w:tc>
          <w:tcPr>
            <w:tcW w:w="3641" w:type="dxa"/>
            <w:shd w:val="clear" w:color="auto" w:fill="auto"/>
          </w:tcPr>
          <w:p w:rsidR="00D66945" w:rsidRPr="007828C4" w:rsidRDefault="00D66945" w:rsidP="00A33453">
            <w:pPr>
              <w:tabs>
                <w:tab w:val="left" w:pos="1080"/>
              </w:tabs>
              <w:ind w:left="1987"/>
              <w:jc w:val="right"/>
              <w:rPr>
                <w:rFonts w:eastAsia="Arial Unicode MS" w:cs="Arial"/>
                <w:sz w:val="20"/>
                <w:szCs w:val="22"/>
              </w:rPr>
            </w:pPr>
            <w:r>
              <w:rPr>
                <w:rFonts w:eastAsia="Arial Unicode MS" w:cs="Arial"/>
                <w:sz w:val="20"/>
                <w:szCs w:val="22"/>
              </w:rPr>
              <w:t>7</w:t>
            </w:r>
            <w:r w:rsidRPr="007828C4">
              <w:rPr>
                <w:rFonts w:eastAsia="Arial Unicode MS" w:cs="Arial"/>
                <w:sz w:val="20"/>
                <w:szCs w:val="22"/>
              </w:rPr>
              <w:t>.4%</w:t>
            </w:r>
          </w:p>
        </w:tc>
      </w:tr>
      <w:tr w:rsidR="00D66945" w:rsidRPr="007828C4" w:rsidTr="00A33453">
        <w:trPr>
          <w:trHeight w:val="431"/>
        </w:trPr>
        <w:tc>
          <w:tcPr>
            <w:tcW w:w="5954" w:type="dxa"/>
            <w:shd w:val="clear" w:color="auto" w:fill="auto"/>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property</w:t>
            </w:r>
          </w:p>
        </w:tc>
        <w:tc>
          <w:tcPr>
            <w:tcW w:w="3641" w:type="dxa"/>
            <w:shd w:val="clear" w:color="auto" w:fill="auto"/>
          </w:tcPr>
          <w:p w:rsidR="00D66945" w:rsidRPr="007828C4" w:rsidRDefault="00D66945" w:rsidP="00A33453">
            <w:pPr>
              <w:tabs>
                <w:tab w:val="left" w:pos="1080"/>
              </w:tabs>
              <w:ind w:left="1987"/>
              <w:jc w:val="right"/>
              <w:rPr>
                <w:rFonts w:eastAsia="Arial Unicode MS" w:cs="Arial"/>
                <w:sz w:val="20"/>
                <w:szCs w:val="22"/>
              </w:rPr>
            </w:pPr>
            <w:r>
              <w:rPr>
                <w:rFonts w:eastAsia="Arial Unicode MS" w:cs="Arial"/>
                <w:sz w:val="20"/>
                <w:szCs w:val="22"/>
              </w:rPr>
              <w:t>3.9</w:t>
            </w:r>
            <w:r w:rsidRPr="007828C4">
              <w:rPr>
                <w:rFonts w:eastAsia="Arial Unicode MS" w:cs="Arial"/>
                <w:sz w:val="20"/>
                <w:szCs w:val="22"/>
              </w:rPr>
              <w:t>%</w:t>
            </w:r>
          </w:p>
        </w:tc>
      </w:tr>
    </w:tbl>
    <w:p w:rsidR="00D66945" w:rsidRPr="007828C4" w:rsidRDefault="00D66945" w:rsidP="00D66945">
      <w:pPr>
        <w:rPr>
          <w:rFonts w:eastAsia="Arial Unicode MS" w:cs="Arial"/>
          <w:sz w:val="22"/>
          <w:szCs w:val="22"/>
        </w:rPr>
      </w:pPr>
    </w:p>
    <w:p w:rsidR="00D66945" w:rsidRDefault="00D66945" w:rsidP="00D66945">
      <w:pPr>
        <w:rPr>
          <w:rFonts w:eastAsia="Arial Unicode MS" w:cs="Arial"/>
          <w:sz w:val="22"/>
          <w:szCs w:val="22"/>
        </w:rPr>
      </w:pPr>
      <w:r w:rsidRPr="007828C4">
        <w:rPr>
          <w:rFonts w:eastAsia="Arial Unicode MS" w:cs="Arial"/>
          <w:sz w:val="22"/>
          <w:szCs w:val="22"/>
        </w:rPr>
        <w:t>The sensitivities are consistent with the assumption contained in the investment advisors' most recent review.  This analysis assumes that all other variables, in particular foreign currency exchange rates and interest rates, remain the same.  Had the market of the Fund's investments increased/decreased in line with the above, the change in the net assets available to pay benefits in the market place would have been as follows (the prior year comparator is also shown):</w:t>
      </w:r>
    </w:p>
    <w:p w:rsidR="00663358" w:rsidRDefault="00663358" w:rsidP="00D66945">
      <w:pPr>
        <w:rPr>
          <w:rFonts w:eastAsia="Arial Unicode MS" w:cs="Arial"/>
          <w:sz w:val="22"/>
          <w:szCs w:val="22"/>
        </w:rPr>
      </w:pPr>
    </w:p>
    <w:p w:rsidR="00663358" w:rsidRDefault="00663358" w:rsidP="00D66945">
      <w:pPr>
        <w:rPr>
          <w:rFonts w:eastAsia="Arial Unicode MS" w:cs="Arial"/>
          <w:sz w:val="22"/>
          <w:szCs w:val="22"/>
        </w:rPr>
      </w:pPr>
    </w:p>
    <w:p w:rsidR="00663358" w:rsidRPr="007828C4" w:rsidRDefault="00663358" w:rsidP="00D66945">
      <w:pPr>
        <w:rPr>
          <w:rFonts w:eastAsia="Arial Unicode MS" w:cs="Arial"/>
          <w:sz w:val="22"/>
          <w:szCs w:val="22"/>
        </w:rPr>
      </w:pPr>
    </w:p>
    <w:p w:rsidR="00D66945" w:rsidRPr="007828C4" w:rsidRDefault="00D66945" w:rsidP="00D66945">
      <w:pPr>
        <w:tabs>
          <w:tab w:val="left" w:pos="1080"/>
        </w:tabs>
        <w:ind w:left="709"/>
        <w:rPr>
          <w:rFonts w:eastAsia="Arial Unicode MS" w:cs="Arial"/>
          <w:sz w:val="22"/>
          <w:szCs w:val="22"/>
        </w:rPr>
      </w:pPr>
    </w:p>
    <w:tbl>
      <w:tblPr>
        <w:tblStyle w:val="TableGrid2"/>
        <w:tblW w:w="0" w:type="auto"/>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111"/>
        <w:gridCol w:w="1371"/>
        <w:gridCol w:w="1371"/>
        <w:gridCol w:w="1371"/>
        <w:gridCol w:w="1371"/>
      </w:tblGrid>
      <w:tr w:rsidR="00D66945" w:rsidRPr="007828C4" w:rsidTr="00A33453">
        <w:trPr>
          <w:trHeight w:val="431"/>
        </w:trPr>
        <w:tc>
          <w:tcPr>
            <w:tcW w:w="4111" w:type="dxa"/>
            <w:tcBorders>
              <w:bottom w:val="nil"/>
            </w:tcBorders>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Asset type</w:t>
            </w:r>
          </w:p>
        </w:tc>
        <w:tc>
          <w:tcPr>
            <w:tcW w:w="137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31 March 201</w:t>
            </w:r>
            <w:r>
              <w:rPr>
                <w:rFonts w:eastAsia="Arial Unicode MS" w:cs="Arial"/>
                <w:b/>
                <w:sz w:val="20"/>
                <w:szCs w:val="22"/>
              </w:rPr>
              <w:t>8</w:t>
            </w:r>
          </w:p>
        </w:tc>
        <w:tc>
          <w:tcPr>
            <w:tcW w:w="137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Percentage change</w:t>
            </w:r>
          </w:p>
        </w:tc>
        <w:tc>
          <w:tcPr>
            <w:tcW w:w="137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Value on increase</w:t>
            </w:r>
          </w:p>
        </w:tc>
        <w:tc>
          <w:tcPr>
            <w:tcW w:w="137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Value on decrease</w:t>
            </w:r>
          </w:p>
        </w:tc>
      </w:tr>
      <w:tr w:rsidR="00D66945" w:rsidRPr="007828C4" w:rsidTr="00A33453">
        <w:trPr>
          <w:trHeight w:val="431"/>
        </w:trPr>
        <w:tc>
          <w:tcPr>
            <w:tcW w:w="4111"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b/>
                <w:sz w:val="20"/>
                <w:szCs w:val="22"/>
              </w:rPr>
            </w:pPr>
          </w:p>
        </w:tc>
        <w:tc>
          <w:tcPr>
            <w:tcW w:w="137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37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w:t>
            </w:r>
          </w:p>
        </w:tc>
        <w:tc>
          <w:tcPr>
            <w:tcW w:w="137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37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r>
      <w:tr w:rsidR="00D66945" w:rsidRPr="007828C4" w:rsidTr="00A33453">
        <w:trPr>
          <w:trHeight w:val="431"/>
        </w:trPr>
        <w:tc>
          <w:tcPr>
            <w:tcW w:w="4111" w:type="dxa"/>
            <w:shd w:val="clear" w:color="auto" w:fill="E7E6E6" w:themeFill="background2"/>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Investment portfolio assets:</w:t>
            </w: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r>
      <w:tr w:rsidR="00D66945" w:rsidRPr="007828C4" w:rsidTr="00A33453">
        <w:trPr>
          <w:trHeight w:val="431"/>
        </w:trPr>
        <w:tc>
          <w:tcPr>
            <w:tcW w:w="4111"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bonds (including index linked)</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132.7</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7.2%</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142.3</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123.1</w:t>
            </w:r>
          </w:p>
        </w:tc>
      </w:tr>
      <w:tr w:rsidR="00D66945" w:rsidRPr="007828C4" w:rsidTr="00A33453">
        <w:trPr>
          <w:trHeight w:val="431"/>
        </w:trPr>
        <w:tc>
          <w:tcPr>
            <w:tcW w:w="4111"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equities</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3,762.1</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9.6%</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4,123.3</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3,400.9</w:t>
            </w:r>
          </w:p>
        </w:tc>
      </w:tr>
      <w:tr w:rsidR="00D66945" w:rsidRPr="007828C4" w:rsidTr="00A33453">
        <w:trPr>
          <w:trHeight w:val="431"/>
        </w:trPr>
        <w:tc>
          <w:tcPr>
            <w:tcW w:w="4111"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Alternatives</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2,721.5</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7.4%</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2,922. 9</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2,520.1</w:t>
            </w:r>
          </w:p>
        </w:tc>
      </w:tr>
      <w:tr w:rsidR="00D66945" w:rsidRPr="007828C4" w:rsidTr="00A33453">
        <w:trPr>
          <w:trHeight w:val="431"/>
        </w:trPr>
        <w:tc>
          <w:tcPr>
            <w:tcW w:w="4111"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property</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828.8</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3.9%</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861.1</w:t>
            </w:r>
          </w:p>
        </w:tc>
        <w:tc>
          <w:tcPr>
            <w:tcW w:w="1371"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796.5</w:t>
            </w:r>
          </w:p>
        </w:tc>
      </w:tr>
      <w:tr w:rsidR="00D66945" w:rsidRPr="007828C4" w:rsidTr="00A33453">
        <w:trPr>
          <w:trHeight w:val="431"/>
        </w:trPr>
        <w:tc>
          <w:tcPr>
            <w:tcW w:w="4111" w:type="dxa"/>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Total assets available to pay benefits</w:t>
            </w: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7,445.1</w:t>
            </w: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8,049.6</w:t>
            </w:r>
            <w:r w:rsidDel="006D6A6B">
              <w:rPr>
                <w:rFonts w:eastAsia="Arial Unicode MS" w:cs="Arial"/>
                <w:b/>
                <w:sz w:val="20"/>
                <w:szCs w:val="22"/>
              </w:rPr>
              <w:t xml:space="preserve"> </w:t>
            </w: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6,840.6</w:t>
            </w:r>
          </w:p>
        </w:tc>
      </w:tr>
    </w:tbl>
    <w:p w:rsidR="00D66945" w:rsidRPr="007828C4" w:rsidRDefault="00D66945" w:rsidP="00D66945">
      <w:pPr>
        <w:tabs>
          <w:tab w:val="left" w:pos="1080"/>
        </w:tabs>
        <w:ind w:left="709"/>
        <w:rPr>
          <w:rFonts w:eastAsia="Arial Unicode MS" w:cs="Arial"/>
          <w:sz w:val="22"/>
          <w:szCs w:val="22"/>
        </w:rPr>
      </w:pPr>
    </w:p>
    <w:p w:rsidR="00D66945" w:rsidRPr="007828C4" w:rsidRDefault="00D66945" w:rsidP="00D66945">
      <w:pPr>
        <w:tabs>
          <w:tab w:val="left" w:pos="1080"/>
        </w:tabs>
        <w:ind w:left="709"/>
        <w:rPr>
          <w:rFonts w:eastAsia="Arial Unicode MS" w:cs="Arial"/>
          <w:sz w:val="22"/>
          <w:szCs w:val="22"/>
        </w:rPr>
      </w:pPr>
    </w:p>
    <w:tbl>
      <w:tblPr>
        <w:tblStyle w:val="TableGrid2"/>
        <w:tblW w:w="9595" w:type="dxa"/>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111"/>
        <w:gridCol w:w="1371"/>
        <w:gridCol w:w="1371"/>
        <w:gridCol w:w="1371"/>
        <w:gridCol w:w="1371"/>
      </w:tblGrid>
      <w:tr w:rsidR="00D66945" w:rsidRPr="007828C4" w:rsidTr="00A33453">
        <w:trPr>
          <w:trHeight w:val="431"/>
        </w:trPr>
        <w:tc>
          <w:tcPr>
            <w:tcW w:w="4111" w:type="dxa"/>
            <w:tcBorders>
              <w:bottom w:val="nil"/>
            </w:tcBorders>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Asset type</w:t>
            </w:r>
          </w:p>
        </w:tc>
        <w:tc>
          <w:tcPr>
            <w:tcW w:w="137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31 March 201</w:t>
            </w:r>
            <w:r>
              <w:rPr>
                <w:rFonts w:eastAsia="Arial Unicode MS" w:cs="Arial"/>
                <w:b/>
                <w:sz w:val="20"/>
                <w:szCs w:val="22"/>
              </w:rPr>
              <w:t>7</w:t>
            </w:r>
          </w:p>
        </w:tc>
        <w:tc>
          <w:tcPr>
            <w:tcW w:w="137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Percentage change</w:t>
            </w:r>
          </w:p>
        </w:tc>
        <w:tc>
          <w:tcPr>
            <w:tcW w:w="137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Value on increase</w:t>
            </w:r>
          </w:p>
        </w:tc>
        <w:tc>
          <w:tcPr>
            <w:tcW w:w="137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Value on decrease</w:t>
            </w:r>
          </w:p>
        </w:tc>
      </w:tr>
      <w:tr w:rsidR="00D66945" w:rsidRPr="007828C4" w:rsidTr="00A33453">
        <w:trPr>
          <w:trHeight w:val="431"/>
        </w:trPr>
        <w:tc>
          <w:tcPr>
            <w:tcW w:w="4111"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b/>
                <w:sz w:val="20"/>
                <w:szCs w:val="22"/>
              </w:rPr>
            </w:pPr>
          </w:p>
        </w:tc>
        <w:tc>
          <w:tcPr>
            <w:tcW w:w="137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37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w:t>
            </w:r>
          </w:p>
        </w:tc>
        <w:tc>
          <w:tcPr>
            <w:tcW w:w="137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371" w:type="dxa"/>
            <w:shd w:val="clear" w:color="auto" w:fill="E7E6E6" w:themeFill="background2"/>
            <w:vAlign w:val="center"/>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r>
      <w:tr w:rsidR="00D66945" w:rsidRPr="007828C4" w:rsidTr="00A33453">
        <w:trPr>
          <w:trHeight w:val="431"/>
        </w:trPr>
        <w:tc>
          <w:tcPr>
            <w:tcW w:w="4111" w:type="dxa"/>
            <w:shd w:val="clear" w:color="auto" w:fill="E7E6E6" w:themeFill="background2"/>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Investment portfolio assets:</w:t>
            </w: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r>
      <w:tr w:rsidR="00D66945" w:rsidRPr="007828C4" w:rsidTr="00A33453">
        <w:trPr>
          <w:trHeight w:val="431"/>
        </w:trPr>
        <w:tc>
          <w:tcPr>
            <w:tcW w:w="4111"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bonds (including index linked)</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1,433.1</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6.4%</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1,524.8</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1,341.4</w:t>
            </w:r>
          </w:p>
        </w:tc>
      </w:tr>
      <w:tr w:rsidR="00D66945" w:rsidRPr="007828C4" w:rsidTr="00A33453">
        <w:trPr>
          <w:trHeight w:val="431"/>
        </w:trPr>
        <w:tc>
          <w:tcPr>
            <w:tcW w:w="4111"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equities</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3,649.1</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9.6%</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3,999.4</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3,298.8</w:t>
            </w:r>
          </w:p>
        </w:tc>
      </w:tr>
      <w:tr w:rsidR="00D66945" w:rsidRPr="007828C4" w:rsidTr="00A33453">
        <w:trPr>
          <w:trHeight w:val="431"/>
        </w:trPr>
        <w:tc>
          <w:tcPr>
            <w:tcW w:w="4111"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Alternatives</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1,313.8</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6.4%</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1,397.9</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1,229.8</w:t>
            </w:r>
          </w:p>
        </w:tc>
      </w:tr>
      <w:tr w:rsidR="00D66945" w:rsidRPr="007828C4" w:rsidTr="00A33453">
        <w:trPr>
          <w:trHeight w:val="431"/>
        </w:trPr>
        <w:tc>
          <w:tcPr>
            <w:tcW w:w="4111"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Total property</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736.4</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2.4%</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746.7</w:t>
            </w:r>
          </w:p>
        </w:tc>
        <w:tc>
          <w:tcPr>
            <w:tcW w:w="137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726.1</w:t>
            </w:r>
          </w:p>
        </w:tc>
      </w:tr>
      <w:tr w:rsidR="00D66945" w:rsidRPr="007828C4" w:rsidTr="00A33453">
        <w:trPr>
          <w:trHeight w:val="431"/>
        </w:trPr>
        <w:tc>
          <w:tcPr>
            <w:tcW w:w="4111" w:type="dxa"/>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Total assets available to pay benefits</w:t>
            </w: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7,132.4</w:t>
            </w: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7,676.2</w:t>
            </w:r>
          </w:p>
        </w:tc>
        <w:tc>
          <w:tcPr>
            <w:tcW w:w="137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6,588.6</w:t>
            </w:r>
          </w:p>
        </w:tc>
      </w:tr>
    </w:tbl>
    <w:p w:rsidR="00D66945" w:rsidRPr="007828C4" w:rsidRDefault="00D66945" w:rsidP="00D66945">
      <w:pPr>
        <w:tabs>
          <w:tab w:val="left" w:pos="1080"/>
        </w:tabs>
        <w:ind w:left="709"/>
        <w:rPr>
          <w:rFonts w:eastAsia="Arial Unicode MS" w:cs="Arial"/>
          <w:sz w:val="22"/>
          <w:szCs w:val="22"/>
        </w:rPr>
      </w:pPr>
    </w:p>
    <w:p w:rsidR="00D66945" w:rsidRDefault="00D66945" w:rsidP="00D66945">
      <w:pPr>
        <w:rPr>
          <w:rFonts w:eastAsia="Arial Unicode MS" w:cs="Arial"/>
          <w:b/>
          <w:sz w:val="32"/>
          <w:szCs w:val="22"/>
        </w:rPr>
      </w:pPr>
    </w:p>
    <w:p w:rsidR="00D66945" w:rsidRPr="007828C4"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.4 Interest rate risk</w:t>
      </w:r>
    </w:p>
    <w:p w:rsidR="00D66945" w:rsidRPr="007828C4" w:rsidRDefault="00D66945" w:rsidP="00D66945">
      <w:pPr>
        <w:ind w:left="720"/>
        <w:rPr>
          <w:rFonts w:eastAsia="Arial Unicode MS" w:cs="Arial"/>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Fund invests in financial assets for the primary purpose of obtaining a return on investments.  These investments are subject to interest rate risks, which represent the risks that the fair value of future cash flow of a financial instrument will fluctuate because of changes in market interest rates.  </w:t>
      </w:r>
    </w:p>
    <w:p w:rsidR="00D66945" w:rsidRPr="007828C4" w:rsidRDefault="00D66945" w:rsidP="00D66945">
      <w:pPr>
        <w:rPr>
          <w:rFonts w:eastAsia="Arial Unicode MS" w:cs="Arial"/>
          <w:sz w:val="22"/>
          <w:szCs w:val="22"/>
        </w:rPr>
      </w:pPr>
      <w:r w:rsidRPr="007828C4">
        <w:rPr>
          <w:rFonts w:eastAsia="Arial Unicode MS" w:cs="Arial"/>
          <w:sz w:val="22"/>
          <w:szCs w:val="22"/>
        </w:rPr>
        <w:t>The Fund's interest rate risk is routinely monitored by the Investment Panel and its investment advisors.  The Fund's direct exposure to interest rate movements as at 31 March 201</w:t>
      </w:r>
      <w:r>
        <w:rPr>
          <w:rFonts w:eastAsia="Arial Unicode MS" w:cs="Arial"/>
          <w:sz w:val="22"/>
          <w:szCs w:val="22"/>
        </w:rPr>
        <w:t>8</w:t>
      </w:r>
      <w:r w:rsidRPr="007828C4">
        <w:rPr>
          <w:rFonts w:eastAsia="Arial Unicode MS" w:cs="Arial"/>
          <w:sz w:val="22"/>
          <w:szCs w:val="22"/>
        </w:rPr>
        <w:t xml:space="preserve"> and 31 March 201</w:t>
      </w:r>
      <w:r>
        <w:rPr>
          <w:rFonts w:eastAsia="Arial Unicode MS" w:cs="Arial"/>
          <w:sz w:val="22"/>
          <w:szCs w:val="22"/>
        </w:rPr>
        <w:t>7</w:t>
      </w:r>
      <w:r w:rsidRPr="007828C4">
        <w:rPr>
          <w:rFonts w:eastAsia="Arial Unicode MS" w:cs="Arial"/>
          <w:sz w:val="22"/>
          <w:szCs w:val="22"/>
        </w:rPr>
        <w:t xml:space="preserve"> is set out below.  These disclosures present interest rate risk based on the underlying financial assets at fair value.</w:t>
      </w:r>
    </w:p>
    <w:p w:rsidR="00D66945" w:rsidRPr="007828C4" w:rsidRDefault="00D66945" w:rsidP="00D66945">
      <w:pPr>
        <w:ind w:left="720"/>
        <w:rPr>
          <w:rFonts w:eastAsia="Arial Unicode MS" w:cs="Arial"/>
          <w:sz w:val="22"/>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18"/>
              </w:rPr>
              <w:t>Asset type</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w:t>
            </w:r>
            <w:r>
              <w:rPr>
                <w:rFonts w:eastAsia="Arial Unicode MS" w:cs="Arial"/>
                <w:b/>
                <w:sz w:val="20"/>
                <w:szCs w:val="18"/>
              </w:rPr>
              <w:t>18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329"/>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2"/>
              </w:rPr>
              <w:t>56</w:t>
            </w:r>
            <w:r w:rsidRPr="007828C4">
              <w:rPr>
                <w:rFonts w:eastAsia="Arial Unicode MS" w:cs="Arial"/>
                <w:sz w:val="20"/>
                <w:szCs w:val="22"/>
              </w:rPr>
              <w:t>.3</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Cash and cash equivalents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162.0</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b/>
                <w:sz w:val="20"/>
                <w:szCs w:val="22"/>
              </w:rPr>
              <w:t>56</w:t>
            </w:r>
            <w:r w:rsidRPr="007828C4">
              <w:rPr>
                <w:rFonts w:eastAsia="Arial Unicode MS" w:cs="Arial"/>
                <w:b/>
                <w:sz w:val="20"/>
                <w:szCs w:val="22"/>
              </w:rPr>
              <w:t>.3</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b/>
                <w:sz w:val="20"/>
                <w:szCs w:val="22"/>
              </w:rPr>
              <w:t>Total</w:t>
            </w: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162.0</w:t>
            </w:r>
          </w:p>
        </w:tc>
      </w:tr>
    </w:tbl>
    <w:p w:rsidR="00D66945" w:rsidRPr="007828C4" w:rsidRDefault="00D66945" w:rsidP="00D66945">
      <w:pPr>
        <w:ind w:left="720" w:hanging="720"/>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 xml:space="preserve">.4.1 Interest rate risk - sensitivity analysis </w:t>
      </w:r>
    </w:p>
    <w:p w:rsidR="00D66945" w:rsidRPr="007828C4" w:rsidRDefault="00D66945" w:rsidP="00663358">
      <w:pPr>
        <w:rPr>
          <w:rFonts w:eastAsia="Arial Unicode MS" w:cs="Arial"/>
          <w:sz w:val="22"/>
          <w:szCs w:val="22"/>
        </w:rPr>
      </w:pPr>
      <w:r w:rsidRPr="007828C4">
        <w:rPr>
          <w:rFonts w:eastAsia="Arial Unicode MS" w:cs="Arial"/>
          <w:sz w:val="22"/>
          <w:szCs w:val="22"/>
        </w:rPr>
        <w:t xml:space="preserve">The Fund has recognised that interest rates can vary and can affect both income to the Fund and the value of the net assets available to pay benefits. A 100 basis point (BPS) movement in interest rates is consistent with the level of sensitivity applied as part of the Fund's risk management strategy (1BPS = 0.01%).  The Fund's investment advisor has advised that long–term average rates are expected to move less than 100 basis points for one year to the next and experience suggests that such movements are likely. </w:t>
      </w:r>
    </w:p>
    <w:p w:rsidR="00D66945" w:rsidRDefault="00D66945" w:rsidP="00D66945">
      <w:pPr>
        <w:rPr>
          <w:rFonts w:eastAsia="Arial Unicode MS" w:cs="Arial"/>
          <w:sz w:val="22"/>
          <w:szCs w:val="22"/>
        </w:rPr>
      </w:pPr>
      <w:r w:rsidRPr="007828C4">
        <w:rPr>
          <w:rFonts w:eastAsia="Arial Unicode MS" w:cs="Arial"/>
          <w:sz w:val="22"/>
          <w:szCs w:val="22"/>
        </w:rPr>
        <w:t xml:space="preserve">The analysis that follows assumes that all other variables, in particular exchange rates, remain constant, and shows the effect in the year on the net assets available to pay benefits of a +/- 100 BPS change in interest rates: </w:t>
      </w:r>
    </w:p>
    <w:p w:rsidR="0090607B" w:rsidRPr="007828C4" w:rsidRDefault="0090607B" w:rsidP="00D66945">
      <w:pPr>
        <w:rPr>
          <w:rFonts w:eastAsia="Arial Unicode MS" w:cs="Arial"/>
          <w:sz w:val="22"/>
          <w:szCs w:val="22"/>
        </w:rPr>
      </w:pPr>
    </w:p>
    <w:tbl>
      <w:tblPr>
        <w:tblStyle w:val="TableGrid2"/>
        <w:tblW w:w="0" w:type="auto"/>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3827"/>
        <w:gridCol w:w="2120"/>
        <w:gridCol w:w="1964"/>
        <w:gridCol w:w="1680"/>
      </w:tblGrid>
      <w:tr w:rsidR="00D66945" w:rsidRPr="007828C4" w:rsidTr="00A33453">
        <w:trPr>
          <w:trHeight w:val="431"/>
        </w:trPr>
        <w:tc>
          <w:tcPr>
            <w:tcW w:w="3827"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Asset type</w:t>
            </w:r>
          </w:p>
        </w:tc>
        <w:tc>
          <w:tcPr>
            <w:tcW w:w="2120" w:type="dxa"/>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3644" w:type="dxa"/>
            <w:gridSpan w:val="2"/>
            <w:shd w:val="clear" w:color="auto" w:fill="E7E6E6" w:themeFill="background2"/>
          </w:tcPr>
          <w:p w:rsidR="00D66945" w:rsidRPr="007828C4" w:rsidRDefault="00D66945" w:rsidP="00A33453">
            <w:pPr>
              <w:tabs>
                <w:tab w:val="left" w:pos="1080"/>
              </w:tabs>
              <w:jc w:val="center"/>
              <w:rPr>
                <w:rFonts w:eastAsia="Arial Unicode MS" w:cs="Arial"/>
                <w:b/>
                <w:sz w:val="20"/>
                <w:szCs w:val="20"/>
              </w:rPr>
            </w:pPr>
            <w:r w:rsidRPr="007828C4">
              <w:rPr>
                <w:rFonts w:eastAsia="Arial Unicode MS" w:cs="Arial"/>
                <w:b/>
                <w:sz w:val="20"/>
                <w:szCs w:val="20"/>
              </w:rPr>
              <w:t>Change in year in net assets available to pay benefits</w:t>
            </w:r>
          </w:p>
        </w:tc>
      </w:tr>
      <w:tr w:rsidR="00D66945" w:rsidRPr="007828C4" w:rsidTr="00A33453">
        <w:trPr>
          <w:trHeight w:val="431"/>
        </w:trPr>
        <w:tc>
          <w:tcPr>
            <w:tcW w:w="3827" w:type="dxa"/>
            <w:shd w:val="clear" w:color="auto" w:fill="E7E6E6" w:themeFill="background2"/>
          </w:tcPr>
          <w:p w:rsidR="00D66945" w:rsidRPr="007828C4" w:rsidRDefault="00D66945" w:rsidP="00A33453">
            <w:pPr>
              <w:tabs>
                <w:tab w:val="left" w:pos="1080"/>
              </w:tabs>
              <w:rPr>
                <w:rFonts w:eastAsia="Arial Unicode MS" w:cs="Arial"/>
                <w:sz w:val="20"/>
                <w:szCs w:val="20"/>
              </w:rPr>
            </w:pPr>
          </w:p>
        </w:tc>
        <w:tc>
          <w:tcPr>
            <w:tcW w:w="2120" w:type="dxa"/>
            <w:shd w:val="clear" w:color="auto" w:fill="E7E6E6" w:themeFill="background2"/>
          </w:tcPr>
          <w:p w:rsidR="00D66945" w:rsidRPr="007828C4" w:rsidRDefault="00D66945" w:rsidP="00A33453">
            <w:pPr>
              <w:tabs>
                <w:tab w:val="left" w:pos="1080"/>
              </w:tabs>
              <w:jc w:val="center"/>
              <w:rPr>
                <w:rFonts w:eastAsia="Arial Unicode MS" w:cs="Arial"/>
                <w:b/>
                <w:sz w:val="20"/>
                <w:szCs w:val="20"/>
              </w:rPr>
            </w:pPr>
            <w:r w:rsidRPr="007828C4">
              <w:rPr>
                <w:rFonts w:eastAsia="Arial Unicode MS" w:cs="Arial"/>
                <w:b/>
                <w:sz w:val="20"/>
                <w:szCs w:val="20"/>
              </w:rPr>
              <w:t>31 March 201</w:t>
            </w:r>
            <w:r>
              <w:rPr>
                <w:rFonts w:eastAsia="Arial Unicode MS" w:cs="Arial"/>
                <w:b/>
                <w:sz w:val="20"/>
                <w:szCs w:val="20"/>
              </w:rPr>
              <w:t>8</w:t>
            </w:r>
          </w:p>
        </w:tc>
        <w:tc>
          <w:tcPr>
            <w:tcW w:w="1964" w:type="dxa"/>
            <w:shd w:val="clear" w:color="auto" w:fill="E7E6E6" w:themeFill="background2"/>
          </w:tcPr>
          <w:p w:rsidR="00D66945" w:rsidRPr="007828C4" w:rsidRDefault="00D66945" w:rsidP="00A33453">
            <w:pPr>
              <w:tabs>
                <w:tab w:val="left" w:pos="1080"/>
              </w:tabs>
              <w:jc w:val="center"/>
              <w:rPr>
                <w:rFonts w:eastAsia="Arial Unicode MS" w:cs="Arial"/>
                <w:b/>
                <w:sz w:val="20"/>
                <w:szCs w:val="20"/>
              </w:rPr>
            </w:pPr>
            <w:r w:rsidRPr="007828C4">
              <w:rPr>
                <w:rFonts w:eastAsia="Arial Unicode MS" w:cs="Arial"/>
                <w:b/>
                <w:sz w:val="20"/>
                <w:szCs w:val="20"/>
              </w:rPr>
              <w:t>+100BPS</w:t>
            </w:r>
          </w:p>
        </w:tc>
        <w:tc>
          <w:tcPr>
            <w:tcW w:w="1680" w:type="dxa"/>
            <w:shd w:val="clear" w:color="auto" w:fill="E7E6E6" w:themeFill="background2"/>
          </w:tcPr>
          <w:p w:rsidR="00D66945" w:rsidRPr="007828C4" w:rsidRDefault="00D66945" w:rsidP="00A33453">
            <w:pPr>
              <w:tabs>
                <w:tab w:val="left" w:pos="1080"/>
              </w:tabs>
              <w:jc w:val="center"/>
              <w:rPr>
                <w:rFonts w:eastAsia="Arial Unicode MS" w:cs="Arial"/>
                <w:b/>
                <w:sz w:val="20"/>
                <w:szCs w:val="20"/>
              </w:rPr>
            </w:pPr>
            <w:r w:rsidRPr="007828C4">
              <w:rPr>
                <w:rFonts w:eastAsia="Arial Unicode MS" w:cs="Arial"/>
                <w:b/>
                <w:sz w:val="20"/>
                <w:szCs w:val="20"/>
              </w:rPr>
              <w:t>-100BPS</w:t>
            </w:r>
          </w:p>
        </w:tc>
      </w:tr>
      <w:tr w:rsidR="00D66945" w:rsidRPr="007828C4" w:rsidTr="00A33453">
        <w:trPr>
          <w:trHeight w:val="431"/>
        </w:trPr>
        <w:tc>
          <w:tcPr>
            <w:tcW w:w="3827" w:type="dxa"/>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2120"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964"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680"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3827"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Cash and cash equivalents</w:t>
            </w:r>
          </w:p>
        </w:tc>
        <w:tc>
          <w:tcPr>
            <w:tcW w:w="2120" w:type="dxa"/>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162.0</w:t>
            </w:r>
          </w:p>
        </w:tc>
        <w:tc>
          <w:tcPr>
            <w:tcW w:w="1964" w:type="dxa"/>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1.6</w:t>
            </w:r>
          </w:p>
        </w:tc>
        <w:tc>
          <w:tcPr>
            <w:tcW w:w="1680" w:type="dxa"/>
          </w:tcPr>
          <w:p w:rsidR="00D66945" w:rsidRPr="007828C4" w:rsidRDefault="00D66945" w:rsidP="00A33453">
            <w:pPr>
              <w:tabs>
                <w:tab w:val="left" w:pos="1080"/>
              </w:tabs>
              <w:jc w:val="right"/>
              <w:rPr>
                <w:rFonts w:eastAsia="Arial Unicode MS" w:cs="Arial"/>
                <w:sz w:val="20"/>
                <w:szCs w:val="20"/>
              </w:rPr>
            </w:pPr>
            <w:r>
              <w:rPr>
                <w:rFonts w:eastAsia="Arial Unicode MS" w:cs="Arial"/>
                <w:sz w:val="20"/>
                <w:szCs w:val="20"/>
              </w:rPr>
              <w:t>(1.6)</w:t>
            </w:r>
          </w:p>
        </w:tc>
      </w:tr>
      <w:tr w:rsidR="00D66945" w:rsidRPr="007828C4" w:rsidTr="00A33453">
        <w:trPr>
          <w:trHeight w:val="431"/>
        </w:trPr>
        <w:tc>
          <w:tcPr>
            <w:tcW w:w="3827"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Total change in assets available</w:t>
            </w:r>
          </w:p>
        </w:tc>
        <w:tc>
          <w:tcPr>
            <w:tcW w:w="2120"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964"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1.6</w:t>
            </w:r>
          </w:p>
        </w:tc>
        <w:tc>
          <w:tcPr>
            <w:tcW w:w="1680"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Pr>
                <w:rFonts w:eastAsia="Arial Unicode MS" w:cs="Arial"/>
                <w:b/>
                <w:sz w:val="20"/>
                <w:szCs w:val="20"/>
              </w:rPr>
              <w:t>(1.6)</w:t>
            </w:r>
          </w:p>
        </w:tc>
      </w:tr>
    </w:tbl>
    <w:p w:rsidR="00D66945" w:rsidRDefault="00D66945" w:rsidP="00D66945">
      <w:pPr>
        <w:ind w:left="720"/>
        <w:rPr>
          <w:rFonts w:eastAsia="Arial Unicode MS" w:cs="Arial"/>
          <w:sz w:val="22"/>
          <w:szCs w:val="22"/>
        </w:rPr>
      </w:pPr>
    </w:p>
    <w:p w:rsidR="0090607B" w:rsidRPr="007828C4" w:rsidRDefault="0090607B" w:rsidP="00D66945">
      <w:pPr>
        <w:ind w:left="720"/>
        <w:rPr>
          <w:rFonts w:eastAsia="Arial Unicode MS" w:cs="Arial"/>
          <w:sz w:val="22"/>
          <w:szCs w:val="22"/>
        </w:rPr>
      </w:pPr>
    </w:p>
    <w:tbl>
      <w:tblPr>
        <w:tblStyle w:val="TableGrid2"/>
        <w:tblW w:w="0" w:type="auto"/>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3827"/>
        <w:gridCol w:w="2120"/>
        <w:gridCol w:w="1964"/>
        <w:gridCol w:w="1680"/>
      </w:tblGrid>
      <w:tr w:rsidR="00D66945" w:rsidRPr="007828C4" w:rsidTr="00A33453">
        <w:trPr>
          <w:trHeight w:val="431"/>
        </w:trPr>
        <w:tc>
          <w:tcPr>
            <w:tcW w:w="3827"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Asset type</w:t>
            </w:r>
          </w:p>
        </w:tc>
        <w:tc>
          <w:tcPr>
            <w:tcW w:w="2120" w:type="dxa"/>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3644" w:type="dxa"/>
            <w:gridSpan w:val="2"/>
            <w:shd w:val="clear" w:color="auto" w:fill="E7E6E6" w:themeFill="background2"/>
          </w:tcPr>
          <w:p w:rsidR="00D66945" w:rsidRPr="007828C4" w:rsidRDefault="00D66945" w:rsidP="00A33453">
            <w:pPr>
              <w:tabs>
                <w:tab w:val="left" w:pos="1080"/>
              </w:tabs>
              <w:jc w:val="center"/>
              <w:rPr>
                <w:rFonts w:eastAsia="Arial Unicode MS" w:cs="Arial"/>
                <w:b/>
                <w:sz w:val="20"/>
                <w:szCs w:val="20"/>
              </w:rPr>
            </w:pPr>
            <w:r w:rsidRPr="007828C4">
              <w:rPr>
                <w:rFonts w:eastAsia="Arial Unicode MS" w:cs="Arial"/>
                <w:b/>
                <w:sz w:val="20"/>
                <w:szCs w:val="20"/>
              </w:rPr>
              <w:t>Change in year in net assets available to pay benefits</w:t>
            </w:r>
          </w:p>
        </w:tc>
      </w:tr>
      <w:tr w:rsidR="00D66945" w:rsidRPr="007828C4" w:rsidTr="00A33453">
        <w:trPr>
          <w:trHeight w:val="431"/>
        </w:trPr>
        <w:tc>
          <w:tcPr>
            <w:tcW w:w="3827" w:type="dxa"/>
            <w:shd w:val="clear" w:color="auto" w:fill="E7E6E6" w:themeFill="background2"/>
          </w:tcPr>
          <w:p w:rsidR="00D66945" w:rsidRPr="007828C4" w:rsidRDefault="00D66945" w:rsidP="00A33453">
            <w:pPr>
              <w:tabs>
                <w:tab w:val="left" w:pos="1080"/>
              </w:tabs>
              <w:rPr>
                <w:rFonts w:eastAsia="Arial Unicode MS" w:cs="Arial"/>
                <w:sz w:val="20"/>
                <w:szCs w:val="20"/>
              </w:rPr>
            </w:pPr>
          </w:p>
        </w:tc>
        <w:tc>
          <w:tcPr>
            <w:tcW w:w="2120" w:type="dxa"/>
            <w:shd w:val="clear" w:color="auto" w:fill="E7E6E6" w:themeFill="background2"/>
          </w:tcPr>
          <w:p w:rsidR="00D66945" w:rsidRPr="007828C4" w:rsidRDefault="00D66945" w:rsidP="00A33453">
            <w:pPr>
              <w:tabs>
                <w:tab w:val="left" w:pos="1080"/>
              </w:tabs>
              <w:jc w:val="center"/>
              <w:rPr>
                <w:rFonts w:eastAsia="Arial Unicode MS" w:cs="Arial"/>
                <w:b/>
                <w:sz w:val="20"/>
                <w:szCs w:val="20"/>
              </w:rPr>
            </w:pPr>
            <w:r w:rsidRPr="007828C4">
              <w:rPr>
                <w:rFonts w:eastAsia="Arial Unicode MS" w:cs="Arial"/>
                <w:b/>
                <w:sz w:val="20"/>
                <w:szCs w:val="20"/>
              </w:rPr>
              <w:t>31 March 20</w:t>
            </w:r>
            <w:r>
              <w:rPr>
                <w:rFonts w:eastAsia="Arial Unicode MS" w:cs="Arial"/>
                <w:b/>
                <w:sz w:val="20"/>
                <w:szCs w:val="20"/>
              </w:rPr>
              <w:t>17</w:t>
            </w:r>
          </w:p>
        </w:tc>
        <w:tc>
          <w:tcPr>
            <w:tcW w:w="1964" w:type="dxa"/>
            <w:shd w:val="clear" w:color="auto" w:fill="E7E6E6" w:themeFill="background2"/>
          </w:tcPr>
          <w:p w:rsidR="00D66945" w:rsidRPr="007828C4" w:rsidRDefault="00D66945" w:rsidP="00A33453">
            <w:pPr>
              <w:tabs>
                <w:tab w:val="left" w:pos="1080"/>
              </w:tabs>
              <w:jc w:val="center"/>
              <w:rPr>
                <w:rFonts w:eastAsia="Arial Unicode MS" w:cs="Arial"/>
                <w:b/>
                <w:sz w:val="20"/>
                <w:szCs w:val="20"/>
              </w:rPr>
            </w:pPr>
            <w:r w:rsidRPr="007828C4">
              <w:rPr>
                <w:rFonts w:eastAsia="Arial Unicode MS" w:cs="Arial"/>
                <w:b/>
                <w:sz w:val="20"/>
                <w:szCs w:val="20"/>
              </w:rPr>
              <w:t>+100BPS</w:t>
            </w:r>
          </w:p>
        </w:tc>
        <w:tc>
          <w:tcPr>
            <w:tcW w:w="1680" w:type="dxa"/>
            <w:shd w:val="clear" w:color="auto" w:fill="E7E6E6" w:themeFill="background2"/>
          </w:tcPr>
          <w:p w:rsidR="00D66945" w:rsidRPr="007828C4" w:rsidRDefault="00D66945" w:rsidP="00A33453">
            <w:pPr>
              <w:tabs>
                <w:tab w:val="left" w:pos="1080"/>
              </w:tabs>
              <w:jc w:val="center"/>
              <w:rPr>
                <w:rFonts w:eastAsia="Arial Unicode MS" w:cs="Arial"/>
                <w:b/>
                <w:sz w:val="20"/>
                <w:szCs w:val="20"/>
              </w:rPr>
            </w:pPr>
            <w:r w:rsidRPr="007828C4">
              <w:rPr>
                <w:rFonts w:eastAsia="Arial Unicode MS" w:cs="Arial"/>
                <w:b/>
                <w:sz w:val="20"/>
                <w:szCs w:val="20"/>
              </w:rPr>
              <w:t>-100BPS</w:t>
            </w:r>
          </w:p>
        </w:tc>
      </w:tr>
      <w:tr w:rsidR="00D66945" w:rsidRPr="007828C4" w:rsidTr="00A33453">
        <w:trPr>
          <w:trHeight w:val="431"/>
        </w:trPr>
        <w:tc>
          <w:tcPr>
            <w:tcW w:w="3827" w:type="dxa"/>
            <w:shd w:val="clear" w:color="auto" w:fill="E7E6E6" w:themeFill="background2"/>
          </w:tcPr>
          <w:p w:rsidR="00D66945" w:rsidRPr="007828C4" w:rsidRDefault="00D66945" w:rsidP="00A33453">
            <w:pPr>
              <w:tabs>
                <w:tab w:val="left" w:pos="1080"/>
              </w:tabs>
              <w:jc w:val="right"/>
              <w:rPr>
                <w:rFonts w:eastAsia="Arial Unicode MS" w:cs="Arial"/>
                <w:sz w:val="20"/>
                <w:szCs w:val="20"/>
              </w:rPr>
            </w:pPr>
          </w:p>
        </w:tc>
        <w:tc>
          <w:tcPr>
            <w:tcW w:w="2120"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964"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c>
          <w:tcPr>
            <w:tcW w:w="1680"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£m</w:t>
            </w:r>
          </w:p>
        </w:tc>
      </w:tr>
      <w:tr w:rsidR="00D66945" w:rsidRPr="007828C4" w:rsidTr="00A33453">
        <w:trPr>
          <w:trHeight w:val="431"/>
        </w:trPr>
        <w:tc>
          <w:tcPr>
            <w:tcW w:w="3827" w:type="dxa"/>
          </w:tcPr>
          <w:p w:rsidR="00D66945" w:rsidRPr="007828C4" w:rsidRDefault="00D66945" w:rsidP="00A33453">
            <w:pPr>
              <w:tabs>
                <w:tab w:val="left" w:pos="1080"/>
              </w:tabs>
              <w:rPr>
                <w:rFonts w:eastAsia="Arial Unicode MS" w:cs="Arial"/>
                <w:sz w:val="20"/>
                <w:szCs w:val="20"/>
              </w:rPr>
            </w:pPr>
            <w:r w:rsidRPr="007828C4">
              <w:rPr>
                <w:rFonts w:eastAsia="Arial Unicode MS" w:cs="Arial"/>
                <w:sz w:val="20"/>
                <w:szCs w:val="20"/>
              </w:rPr>
              <w:t>Cash and cash equivalents</w:t>
            </w:r>
          </w:p>
        </w:tc>
        <w:tc>
          <w:tcPr>
            <w:tcW w:w="2120"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56.3</w:t>
            </w:r>
          </w:p>
        </w:tc>
        <w:tc>
          <w:tcPr>
            <w:tcW w:w="1964"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0.6</w:t>
            </w:r>
          </w:p>
        </w:tc>
        <w:tc>
          <w:tcPr>
            <w:tcW w:w="1680" w:type="dxa"/>
          </w:tcPr>
          <w:p w:rsidR="00D66945" w:rsidRPr="007828C4" w:rsidRDefault="00D66945" w:rsidP="00A33453">
            <w:pPr>
              <w:tabs>
                <w:tab w:val="left" w:pos="1080"/>
              </w:tabs>
              <w:jc w:val="right"/>
              <w:rPr>
                <w:rFonts w:eastAsia="Arial Unicode MS" w:cs="Arial"/>
                <w:sz w:val="20"/>
                <w:szCs w:val="20"/>
              </w:rPr>
            </w:pPr>
            <w:r w:rsidRPr="007828C4">
              <w:rPr>
                <w:rFonts w:eastAsia="Arial Unicode MS" w:cs="Arial"/>
                <w:sz w:val="20"/>
                <w:szCs w:val="20"/>
              </w:rPr>
              <w:t>(0.6)</w:t>
            </w:r>
          </w:p>
        </w:tc>
      </w:tr>
      <w:tr w:rsidR="00D66945" w:rsidRPr="007828C4" w:rsidTr="00A33453">
        <w:trPr>
          <w:trHeight w:val="431"/>
        </w:trPr>
        <w:tc>
          <w:tcPr>
            <w:tcW w:w="3827" w:type="dxa"/>
            <w:shd w:val="clear" w:color="auto" w:fill="E7E6E6" w:themeFill="background2"/>
          </w:tcPr>
          <w:p w:rsidR="00D66945" w:rsidRPr="007828C4" w:rsidRDefault="00D66945" w:rsidP="00A33453">
            <w:pPr>
              <w:tabs>
                <w:tab w:val="left" w:pos="1080"/>
              </w:tabs>
              <w:rPr>
                <w:rFonts w:eastAsia="Arial Unicode MS" w:cs="Arial"/>
                <w:b/>
                <w:sz w:val="20"/>
                <w:szCs w:val="20"/>
              </w:rPr>
            </w:pPr>
            <w:r w:rsidRPr="007828C4">
              <w:rPr>
                <w:rFonts w:eastAsia="Arial Unicode MS" w:cs="Arial"/>
                <w:b/>
                <w:sz w:val="20"/>
                <w:szCs w:val="20"/>
              </w:rPr>
              <w:t>Total change in assets available</w:t>
            </w:r>
          </w:p>
        </w:tc>
        <w:tc>
          <w:tcPr>
            <w:tcW w:w="2120"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p>
        </w:tc>
        <w:tc>
          <w:tcPr>
            <w:tcW w:w="1964"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0.6</w:t>
            </w:r>
          </w:p>
        </w:tc>
        <w:tc>
          <w:tcPr>
            <w:tcW w:w="1680" w:type="dxa"/>
            <w:shd w:val="clear" w:color="auto" w:fill="E7E6E6" w:themeFill="background2"/>
          </w:tcPr>
          <w:p w:rsidR="00D66945" w:rsidRPr="007828C4" w:rsidRDefault="00D66945" w:rsidP="00A33453">
            <w:pPr>
              <w:tabs>
                <w:tab w:val="left" w:pos="1080"/>
              </w:tabs>
              <w:jc w:val="right"/>
              <w:rPr>
                <w:rFonts w:eastAsia="Arial Unicode MS" w:cs="Arial"/>
                <w:b/>
                <w:sz w:val="20"/>
                <w:szCs w:val="20"/>
              </w:rPr>
            </w:pPr>
            <w:r w:rsidRPr="007828C4">
              <w:rPr>
                <w:rFonts w:eastAsia="Arial Unicode MS" w:cs="Arial"/>
                <w:b/>
                <w:sz w:val="20"/>
                <w:szCs w:val="20"/>
              </w:rPr>
              <w:t>(0.6)</w:t>
            </w:r>
          </w:p>
        </w:tc>
      </w:tr>
    </w:tbl>
    <w:p w:rsidR="00D66945" w:rsidRDefault="00D66945" w:rsidP="00D66945">
      <w:pPr>
        <w:ind w:left="720"/>
        <w:rPr>
          <w:rFonts w:eastAsia="Arial Unicode MS" w:cs="Arial"/>
          <w:b/>
          <w:sz w:val="22"/>
          <w:szCs w:val="22"/>
        </w:rPr>
      </w:pPr>
    </w:p>
    <w:p w:rsidR="0090607B" w:rsidRPr="007828C4" w:rsidRDefault="0090607B" w:rsidP="00D66945">
      <w:pPr>
        <w:ind w:left="720"/>
        <w:rPr>
          <w:rFonts w:eastAsia="Arial Unicode MS" w:cs="Arial"/>
          <w:b/>
          <w:sz w:val="22"/>
          <w:szCs w:val="22"/>
        </w:rPr>
      </w:pPr>
    </w:p>
    <w:p w:rsidR="00D66945" w:rsidRPr="007828C4" w:rsidRDefault="00D66945" w:rsidP="00D66945">
      <w:pPr>
        <w:ind w:left="720" w:hanging="720"/>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.5 Currency risk</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Currency risk represents the risk that the fair value cash flow of a financial instrument will fluctuate because of changes in foreign exchange rates. The Fund is exposed to currency risk on financial instruments that are denominated in any currency other than the functional currency of the Fund (£).  The Fund holds both monetary and non-monetary assets denominated in currencies other than £. </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Fund's currency rate risk is routinely monitored by the Fund and its investment advisors in accordance with the Fund's risk management strategy. </w:t>
      </w:r>
    </w:p>
    <w:p w:rsidR="00D66945" w:rsidRDefault="00D66945" w:rsidP="00D66945">
      <w:pPr>
        <w:rPr>
          <w:rFonts w:eastAsia="Arial Unicode MS" w:cs="Arial"/>
          <w:sz w:val="22"/>
          <w:szCs w:val="22"/>
        </w:rPr>
      </w:pPr>
      <w:r w:rsidRPr="007828C4">
        <w:rPr>
          <w:rFonts w:eastAsia="Arial Unicode MS" w:cs="Arial"/>
          <w:sz w:val="22"/>
          <w:szCs w:val="22"/>
        </w:rPr>
        <w:t>The following table summarises the Fund's currency exposure as at 31 March 201</w:t>
      </w:r>
      <w:r>
        <w:rPr>
          <w:rFonts w:eastAsia="Arial Unicode MS" w:cs="Arial"/>
          <w:sz w:val="22"/>
          <w:szCs w:val="22"/>
        </w:rPr>
        <w:t>8</w:t>
      </w:r>
      <w:r w:rsidRPr="007828C4">
        <w:rPr>
          <w:rFonts w:eastAsia="Arial Unicode MS" w:cs="Arial"/>
          <w:sz w:val="22"/>
          <w:szCs w:val="22"/>
        </w:rPr>
        <w:t xml:space="preserve"> and as at the previous year end:    </w:t>
      </w:r>
    </w:p>
    <w:p w:rsidR="0090607B" w:rsidRDefault="0090607B" w:rsidP="00D66945">
      <w:pPr>
        <w:rPr>
          <w:rFonts w:eastAsia="Arial Unicode MS" w:cs="Arial"/>
          <w:sz w:val="22"/>
          <w:szCs w:val="22"/>
        </w:rPr>
      </w:pPr>
    </w:p>
    <w:p w:rsidR="0090607B" w:rsidRDefault="0090607B" w:rsidP="00D66945">
      <w:pPr>
        <w:rPr>
          <w:rFonts w:eastAsia="Arial Unicode MS" w:cs="Arial"/>
          <w:sz w:val="22"/>
          <w:szCs w:val="22"/>
        </w:rPr>
      </w:pPr>
    </w:p>
    <w:p w:rsidR="0090607B" w:rsidRDefault="0090607B" w:rsidP="00D66945">
      <w:pPr>
        <w:rPr>
          <w:rFonts w:eastAsia="Arial Unicode MS" w:cs="Arial"/>
          <w:sz w:val="22"/>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22"/>
              </w:rPr>
              <w:t>Currency exposure – asset type</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22"/>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1,071.4</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Overseas bonds (including index linked)</w:t>
            </w:r>
          </w:p>
        </w:tc>
        <w:tc>
          <w:tcPr>
            <w:tcW w:w="1701" w:type="dxa"/>
            <w:shd w:val="clear" w:color="auto" w:fill="auto"/>
          </w:tcPr>
          <w:p w:rsidR="00D66945" w:rsidRPr="00953B0F" w:rsidRDefault="00D66945" w:rsidP="00A33453">
            <w:pPr>
              <w:tabs>
                <w:tab w:val="left" w:pos="2160"/>
                <w:tab w:val="left" w:pos="6885"/>
              </w:tabs>
              <w:spacing w:after="60"/>
              <w:jc w:val="right"/>
              <w:rPr>
                <w:rFonts w:eastAsia="Arial Unicode MS" w:cs="Arial"/>
                <w:sz w:val="20"/>
                <w:szCs w:val="18"/>
              </w:rPr>
            </w:pPr>
            <w:r w:rsidRPr="00953B0F">
              <w:rPr>
                <w:rFonts w:eastAsia="Arial Unicode MS" w:cs="Arial"/>
                <w:sz w:val="20"/>
                <w:szCs w:val="18"/>
              </w:rPr>
              <w:t>84.3</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3,569.6</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Overseas equities</w:t>
            </w:r>
          </w:p>
        </w:tc>
        <w:tc>
          <w:tcPr>
            <w:tcW w:w="1701" w:type="dxa"/>
            <w:shd w:val="clear" w:color="auto" w:fill="auto"/>
          </w:tcPr>
          <w:p w:rsidR="00D66945" w:rsidRPr="00953B0F" w:rsidRDefault="00D66945" w:rsidP="00A33453">
            <w:pPr>
              <w:tabs>
                <w:tab w:val="left" w:pos="2160"/>
                <w:tab w:val="left" w:pos="6885"/>
              </w:tabs>
              <w:spacing w:after="60"/>
              <w:jc w:val="right"/>
              <w:rPr>
                <w:rFonts w:eastAsia="Arial Unicode MS" w:cs="Arial"/>
                <w:sz w:val="20"/>
                <w:szCs w:val="18"/>
              </w:rPr>
            </w:pPr>
            <w:r w:rsidRPr="00953B0F">
              <w:rPr>
                <w:rFonts w:eastAsia="Arial Unicode MS" w:cs="Arial"/>
                <w:sz w:val="20"/>
                <w:szCs w:val="18"/>
              </w:rPr>
              <w:t>3,653.8</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1,101.9</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 xml:space="preserve">Overseas alternatives </w:t>
            </w:r>
          </w:p>
        </w:tc>
        <w:tc>
          <w:tcPr>
            <w:tcW w:w="1701" w:type="dxa"/>
            <w:shd w:val="clear" w:color="auto" w:fill="auto"/>
          </w:tcPr>
          <w:p w:rsidR="00D66945" w:rsidRPr="00953B0F" w:rsidRDefault="00D66945" w:rsidP="00A33453">
            <w:pPr>
              <w:tabs>
                <w:tab w:val="left" w:pos="2160"/>
                <w:tab w:val="left" w:pos="6885"/>
              </w:tabs>
              <w:spacing w:after="60"/>
              <w:jc w:val="right"/>
              <w:rPr>
                <w:rFonts w:eastAsia="Arial Unicode MS" w:cs="Arial"/>
                <w:sz w:val="20"/>
                <w:szCs w:val="18"/>
              </w:rPr>
            </w:pPr>
            <w:r w:rsidRPr="00953B0F">
              <w:rPr>
                <w:rFonts w:eastAsia="Arial Unicode MS" w:cs="Arial"/>
                <w:sz w:val="20"/>
                <w:szCs w:val="18"/>
              </w:rPr>
              <w:t>505.2</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sidRPr="007828C4">
              <w:rPr>
                <w:rFonts w:eastAsia="Arial Unicode MS" w:cs="Arial"/>
                <w:sz w:val="20"/>
                <w:szCs w:val="18"/>
              </w:rPr>
              <w:t>41.0</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Overseas property</w:t>
            </w:r>
          </w:p>
        </w:tc>
        <w:tc>
          <w:tcPr>
            <w:tcW w:w="1701" w:type="dxa"/>
            <w:shd w:val="clear" w:color="auto" w:fill="auto"/>
          </w:tcPr>
          <w:p w:rsidR="00D66945" w:rsidRPr="00953B0F" w:rsidRDefault="00D66945" w:rsidP="00A33453">
            <w:pPr>
              <w:tabs>
                <w:tab w:val="left" w:pos="2160"/>
                <w:tab w:val="left" w:pos="6885"/>
              </w:tabs>
              <w:spacing w:after="60"/>
              <w:jc w:val="right"/>
              <w:rPr>
                <w:rFonts w:eastAsia="Arial Unicode MS" w:cs="Arial"/>
                <w:sz w:val="20"/>
                <w:szCs w:val="18"/>
              </w:rPr>
            </w:pPr>
            <w:r w:rsidRPr="00953B0F">
              <w:rPr>
                <w:rFonts w:eastAsia="Arial Unicode MS" w:cs="Arial"/>
                <w:sz w:val="20"/>
                <w:szCs w:val="18"/>
              </w:rPr>
              <w:t>46.0</w:t>
            </w:r>
          </w:p>
        </w:tc>
      </w:tr>
      <w:tr w:rsidR="00D66945" w:rsidRPr="007828C4" w:rsidTr="00A33453">
        <w:trPr>
          <w:trHeight w:val="431"/>
        </w:trPr>
        <w:tc>
          <w:tcPr>
            <w:tcW w:w="1717" w:type="dxa"/>
            <w:shd w:val="clear" w:color="auto" w:fill="E7E6E6" w:themeFill="background2"/>
          </w:tcPr>
          <w:p w:rsidR="00D66945" w:rsidRPr="00DA1317" w:rsidRDefault="00D66945" w:rsidP="00A33453">
            <w:pPr>
              <w:tabs>
                <w:tab w:val="left" w:pos="2160"/>
                <w:tab w:val="left" w:pos="6885"/>
              </w:tabs>
              <w:spacing w:after="60"/>
              <w:jc w:val="right"/>
              <w:rPr>
                <w:rFonts w:eastAsia="Arial Unicode MS" w:cs="Arial"/>
                <w:b/>
                <w:sz w:val="20"/>
                <w:szCs w:val="18"/>
              </w:rPr>
            </w:pPr>
            <w:r w:rsidRPr="00DA1317">
              <w:rPr>
                <w:rFonts w:eastAsia="Arial Unicode MS" w:cs="Arial"/>
                <w:b/>
                <w:sz w:val="20"/>
                <w:szCs w:val="18"/>
              </w:rPr>
              <w:t>5,783.9</w:t>
            </w:r>
          </w:p>
        </w:tc>
        <w:tc>
          <w:tcPr>
            <w:tcW w:w="6221" w:type="dxa"/>
            <w:shd w:val="clear" w:color="auto" w:fill="E7E6E6" w:themeFill="background2"/>
          </w:tcPr>
          <w:p w:rsidR="00D66945" w:rsidRPr="00DA1317" w:rsidRDefault="00D66945" w:rsidP="00A33453">
            <w:pPr>
              <w:tabs>
                <w:tab w:val="left" w:pos="1455"/>
                <w:tab w:val="left" w:pos="5040"/>
                <w:tab w:val="left" w:pos="6885"/>
              </w:tabs>
              <w:rPr>
                <w:rFonts w:eastAsia="Arial Unicode MS" w:cs="Arial"/>
                <w:b/>
                <w:sz w:val="20"/>
                <w:szCs w:val="18"/>
              </w:rPr>
            </w:pPr>
            <w:r w:rsidRPr="00DA1317">
              <w:rPr>
                <w:rFonts w:eastAsia="Arial Unicode MS" w:cs="Arial"/>
                <w:b/>
                <w:sz w:val="20"/>
                <w:szCs w:val="22"/>
              </w:rPr>
              <w:t>Total overseas assets</w:t>
            </w:r>
          </w:p>
        </w:tc>
        <w:tc>
          <w:tcPr>
            <w:tcW w:w="1701" w:type="dxa"/>
            <w:shd w:val="clear" w:color="auto" w:fill="E7E6E6" w:themeFill="background2"/>
          </w:tcPr>
          <w:p w:rsidR="00D66945" w:rsidRPr="00953B0F" w:rsidRDefault="00D66945" w:rsidP="00A33453">
            <w:pPr>
              <w:tabs>
                <w:tab w:val="left" w:pos="2160"/>
                <w:tab w:val="left" w:pos="6885"/>
              </w:tabs>
              <w:spacing w:after="60"/>
              <w:jc w:val="right"/>
              <w:rPr>
                <w:rFonts w:eastAsia="Arial Unicode MS" w:cs="Arial"/>
                <w:b/>
                <w:sz w:val="20"/>
                <w:szCs w:val="18"/>
              </w:rPr>
            </w:pPr>
            <w:r w:rsidRPr="00953B0F">
              <w:rPr>
                <w:rFonts w:eastAsia="Arial Unicode MS" w:cs="Arial"/>
                <w:b/>
                <w:sz w:val="20"/>
                <w:szCs w:val="18"/>
              </w:rPr>
              <w:t>4,289.3</w:t>
            </w:r>
          </w:p>
        </w:tc>
      </w:tr>
    </w:tbl>
    <w:p w:rsidR="00D66945" w:rsidRPr="007828C4" w:rsidRDefault="00D66945" w:rsidP="00D66945">
      <w:pPr>
        <w:rPr>
          <w:rFonts w:eastAsia="Arial Unicode MS" w:cs="Arial"/>
          <w:sz w:val="22"/>
          <w:szCs w:val="22"/>
        </w:rPr>
      </w:pPr>
    </w:p>
    <w:p w:rsidR="00D66945" w:rsidRPr="007828C4" w:rsidRDefault="00D66945" w:rsidP="00D66945">
      <w:pPr>
        <w:ind w:left="720" w:hanging="720"/>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 xml:space="preserve">.5.1 Currency risk – sensitivity analysis </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Following analysis of historical data in consultation with the Fund's investment advisors, the Fund considers the likely volatility associated with foreign exchange rate movement to be </w:t>
      </w:r>
      <w:r w:rsidRPr="00953B0F">
        <w:rPr>
          <w:rFonts w:eastAsia="Arial Unicode MS" w:cs="Arial"/>
          <w:sz w:val="22"/>
          <w:szCs w:val="22"/>
        </w:rPr>
        <w:t>8.5%.</w:t>
      </w:r>
    </w:p>
    <w:p w:rsidR="00D66945" w:rsidRDefault="00D66945" w:rsidP="00D66945">
      <w:pPr>
        <w:rPr>
          <w:rFonts w:eastAsia="Arial Unicode MS" w:cs="Arial"/>
          <w:sz w:val="22"/>
          <w:szCs w:val="22"/>
        </w:rPr>
      </w:pPr>
      <w:r w:rsidRPr="00953B0F">
        <w:rPr>
          <w:rFonts w:eastAsia="Arial Unicode MS" w:cs="Arial"/>
          <w:sz w:val="22"/>
          <w:szCs w:val="22"/>
        </w:rPr>
        <w:t>An 8.5%</w:t>
      </w:r>
      <w:r w:rsidRPr="007828C4">
        <w:rPr>
          <w:rFonts w:eastAsia="Arial Unicode MS" w:cs="Arial"/>
          <w:sz w:val="22"/>
          <w:szCs w:val="22"/>
        </w:rPr>
        <w:t xml:space="preserve"> fluctuation in the currency is considered reasonable based on the Fund advisor's analysis of long-term historical movements in the month-end exchange rates over a rolling 36-month period.  This analysis assumes that all other variables, in particular interest rates, remain constant (</w:t>
      </w:r>
      <w:r>
        <w:rPr>
          <w:rFonts w:eastAsia="Arial Unicode MS" w:cs="Arial"/>
          <w:sz w:val="22"/>
          <w:szCs w:val="22"/>
        </w:rPr>
        <w:t>2016/17</w:t>
      </w:r>
      <w:r w:rsidRPr="007828C4">
        <w:rPr>
          <w:rFonts w:eastAsia="Arial Unicode MS" w:cs="Arial"/>
          <w:sz w:val="22"/>
          <w:szCs w:val="22"/>
        </w:rPr>
        <w:t xml:space="preserve"> 6.1%).</w:t>
      </w:r>
      <w:r w:rsidR="0090607B">
        <w:rPr>
          <w:rFonts w:eastAsia="Arial Unicode MS" w:cs="Arial"/>
          <w:sz w:val="22"/>
          <w:szCs w:val="22"/>
        </w:rPr>
        <w:t xml:space="preserve">  </w:t>
      </w:r>
      <w:r>
        <w:rPr>
          <w:rFonts w:eastAsia="Arial Unicode MS" w:cs="Arial"/>
          <w:sz w:val="22"/>
          <w:szCs w:val="22"/>
        </w:rPr>
        <w:t xml:space="preserve">An </w:t>
      </w:r>
      <w:r w:rsidRPr="00953B0F">
        <w:rPr>
          <w:rFonts w:eastAsia="Arial Unicode MS" w:cs="Arial"/>
          <w:sz w:val="22"/>
          <w:szCs w:val="22"/>
        </w:rPr>
        <w:t>8.5</w:t>
      </w:r>
      <w:r w:rsidRPr="007828C4">
        <w:rPr>
          <w:rFonts w:eastAsia="Arial Unicode MS" w:cs="Arial"/>
          <w:sz w:val="22"/>
          <w:szCs w:val="22"/>
        </w:rPr>
        <w:t>% strengthening/weakening of the pound against the various currencies in which the Fund holds investments would increase/decrease the net assets available to pay benefits as follows:</w:t>
      </w:r>
    </w:p>
    <w:tbl>
      <w:tblPr>
        <w:tblStyle w:val="TableGrid2"/>
        <w:tblW w:w="0" w:type="auto"/>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4252"/>
        <w:gridCol w:w="1722"/>
        <w:gridCol w:w="1808"/>
        <w:gridCol w:w="1809"/>
      </w:tblGrid>
      <w:tr w:rsidR="00D66945" w:rsidRPr="007828C4" w:rsidTr="00A33453">
        <w:trPr>
          <w:trHeight w:val="431"/>
        </w:trPr>
        <w:tc>
          <w:tcPr>
            <w:tcW w:w="4252" w:type="dxa"/>
            <w:tcBorders>
              <w:bottom w:val="nil"/>
            </w:tcBorders>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Currency exposure - asset type</w:t>
            </w:r>
          </w:p>
        </w:tc>
        <w:tc>
          <w:tcPr>
            <w:tcW w:w="1722" w:type="dxa"/>
            <w:shd w:val="clear" w:color="auto" w:fill="E7E6E6" w:themeFill="background2"/>
          </w:tcPr>
          <w:p w:rsidR="00D66945" w:rsidRPr="007828C4" w:rsidRDefault="00D66945" w:rsidP="00A33453">
            <w:pPr>
              <w:tabs>
                <w:tab w:val="left" w:pos="1080"/>
              </w:tabs>
              <w:rPr>
                <w:rFonts w:eastAsia="Arial Unicode MS" w:cs="Arial"/>
                <w:sz w:val="20"/>
                <w:szCs w:val="22"/>
              </w:rPr>
            </w:pPr>
          </w:p>
        </w:tc>
        <w:tc>
          <w:tcPr>
            <w:tcW w:w="3617" w:type="dxa"/>
            <w:gridSpan w:val="2"/>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Change in year in net assets available to pay benefits</w:t>
            </w:r>
          </w:p>
        </w:tc>
      </w:tr>
      <w:tr w:rsidR="00D66945" w:rsidRPr="007828C4" w:rsidTr="00A33453">
        <w:trPr>
          <w:trHeight w:val="431"/>
        </w:trPr>
        <w:tc>
          <w:tcPr>
            <w:tcW w:w="4252" w:type="dxa"/>
            <w:tcBorders>
              <w:top w:val="nil"/>
              <w:bottom w:val="nil"/>
            </w:tcBorders>
            <w:shd w:val="clear" w:color="auto" w:fill="E7E6E6" w:themeFill="background2"/>
          </w:tcPr>
          <w:p w:rsidR="00D66945" w:rsidRPr="007828C4" w:rsidRDefault="00D66945" w:rsidP="00A33453">
            <w:pPr>
              <w:tabs>
                <w:tab w:val="left" w:pos="1080"/>
              </w:tabs>
              <w:rPr>
                <w:rFonts w:eastAsia="Arial Unicode MS" w:cs="Arial"/>
                <w:sz w:val="20"/>
                <w:szCs w:val="22"/>
              </w:rPr>
            </w:pPr>
          </w:p>
        </w:tc>
        <w:tc>
          <w:tcPr>
            <w:tcW w:w="1722"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31 March 201</w:t>
            </w:r>
            <w:r>
              <w:rPr>
                <w:rFonts w:eastAsia="Arial Unicode MS" w:cs="Arial"/>
                <w:b/>
                <w:sz w:val="20"/>
                <w:szCs w:val="22"/>
              </w:rPr>
              <w:t>8</w:t>
            </w:r>
          </w:p>
        </w:tc>
        <w:tc>
          <w:tcPr>
            <w:tcW w:w="1808" w:type="dxa"/>
            <w:shd w:val="clear" w:color="auto" w:fill="E7E6E6" w:themeFill="background2"/>
          </w:tcPr>
          <w:p w:rsidR="00D66945" w:rsidRPr="00953B0F" w:rsidRDefault="00D66945" w:rsidP="00A33453">
            <w:pPr>
              <w:tabs>
                <w:tab w:val="left" w:pos="1080"/>
              </w:tabs>
              <w:jc w:val="right"/>
              <w:rPr>
                <w:rFonts w:eastAsia="Arial Unicode MS" w:cs="Arial"/>
                <w:b/>
                <w:sz w:val="20"/>
                <w:szCs w:val="22"/>
              </w:rPr>
            </w:pPr>
            <w:r w:rsidRPr="00953B0F">
              <w:rPr>
                <w:rFonts w:eastAsia="Arial Unicode MS" w:cs="Arial"/>
                <w:b/>
                <w:sz w:val="20"/>
                <w:szCs w:val="22"/>
              </w:rPr>
              <w:t>+</w:t>
            </w:r>
            <w:r w:rsidRPr="00953B0F">
              <w:rPr>
                <w:rFonts w:eastAsia="Arial Unicode MS" w:cs="Arial"/>
                <w:b/>
                <w:sz w:val="20"/>
                <w:szCs w:val="22"/>
                <w:shd w:val="clear" w:color="auto" w:fill="E7E6E6" w:themeFill="background2"/>
              </w:rPr>
              <w:t>8.5%</w:t>
            </w:r>
          </w:p>
        </w:tc>
        <w:tc>
          <w:tcPr>
            <w:tcW w:w="1809" w:type="dxa"/>
            <w:shd w:val="clear" w:color="auto" w:fill="E7E6E6" w:themeFill="background2"/>
          </w:tcPr>
          <w:p w:rsidR="00D66945" w:rsidRPr="00953B0F" w:rsidRDefault="00D66945" w:rsidP="00A33453">
            <w:pPr>
              <w:tabs>
                <w:tab w:val="left" w:pos="1080"/>
              </w:tabs>
              <w:jc w:val="right"/>
              <w:rPr>
                <w:rFonts w:eastAsia="Arial Unicode MS" w:cs="Arial"/>
                <w:b/>
                <w:sz w:val="20"/>
                <w:szCs w:val="22"/>
              </w:rPr>
            </w:pPr>
            <w:r w:rsidRPr="00953B0F">
              <w:rPr>
                <w:rFonts w:eastAsia="Arial Unicode MS" w:cs="Arial"/>
                <w:b/>
                <w:sz w:val="20"/>
                <w:szCs w:val="22"/>
              </w:rPr>
              <w:t>-</w:t>
            </w:r>
            <w:r w:rsidRPr="00953B0F">
              <w:rPr>
                <w:rFonts w:eastAsia="Arial Unicode MS" w:cs="Arial"/>
                <w:b/>
                <w:sz w:val="20"/>
                <w:szCs w:val="22"/>
                <w:shd w:val="clear" w:color="auto" w:fill="E7E6E6" w:themeFill="background2"/>
              </w:rPr>
              <w:t>8.5%</w:t>
            </w:r>
          </w:p>
        </w:tc>
      </w:tr>
      <w:tr w:rsidR="00D66945" w:rsidRPr="007828C4" w:rsidTr="00A33453">
        <w:trPr>
          <w:trHeight w:val="431"/>
        </w:trPr>
        <w:tc>
          <w:tcPr>
            <w:tcW w:w="4252"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c>
          <w:tcPr>
            <w:tcW w:w="1722"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808"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809"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r>
      <w:tr w:rsidR="00D66945" w:rsidRPr="007828C4" w:rsidTr="00A33453">
        <w:trPr>
          <w:trHeight w:val="431"/>
        </w:trPr>
        <w:tc>
          <w:tcPr>
            <w:tcW w:w="4252"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Overseas bonds (including index linked)</w:t>
            </w:r>
          </w:p>
        </w:tc>
        <w:tc>
          <w:tcPr>
            <w:tcW w:w="1722"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18"/>
              </w:rPr>
              <w:t>84.3</w:t>
            </w:r>
          </w:p>
        </w:tc>
        <w:tc>
          <w:tcPr>
            <w:tcW w:w="1808"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22"/>
              </w:rPr>
              <w:t>91.5</w:t>
            </w:r>
          </w:p>
        </w:tc>
        <w:tc>
          <w:tcPr>
            <w:tcW w:w="1809"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22"/>
              </w:rPr>
              <w:t>77.1</w:t>
            </w:r>
          </w:p>
        </w:tc>
      </w:tr>
      <w:tr w:rsidR="00D66945" w:rsidRPr="007828C4" w:rsidTr="00A33453">
        <w:trPr>
          <w:trHeight w:val="431"/>
        </w:trPr>
        <w:tc>
          <w:tcPr>
            <w:tcW w:w="4252"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Overseas equities</w:t>
            </w:r>
          </w:p>
        </w:tc>
        <w:tc>
          <w:tcPr>
            <w:tcW w:w="1722"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18"/>
              </w:rPr>
              <w:t>3,653.8</w:t>
            </w:r>
          </w:p>
        </w:tc>
        <w:tc>
          <w:tcPr>
            <w:tcW w:w="1808"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22"/>
              </w:rPr>
              <w:t>3,964.</w:t>
            </w:r>
            <w:r>
              <w:rPr>
                <w:rFonts w:eastAsia="Arial Unicode MS" w:cs="Arial"/>
                <w:sz w:val="20"/>
                <w:szCs w:val="22"/>
              </w:rPr>
              <w:t>4</w:t>
            </w:r>
          </w:p>
        </w:tc>
        <w:tc>
          <w:tcPr>
            <w:tcW w:w="1809"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22"/>
              </w:rPr>
              <w:t>3,</w:t>
            </w:r>
            <w:r>
              <w:rPr>
                <w:rFonts w:eastAsia="Arial Unicode MS" w:cs="Arial"/>
                <w:sz w:val="20"/>
                <w:szCs w:val="22"/>
              </w:rPr>
              <w:t>343.2</w:t>
            </w:r>
          </w:p>
        </w:tc>
      </w:tr>
      <w:tr w:rsidR="00D66945" w:rsidRPr="007828C4" w:rsidTr="00A33453">
        <w:trPr>
          <w:trHeight w:val="431"/>
        </w:trPr>
        <w:tc>
          <w:tcPr>
            <w:tcW w:w="4252"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 xml:space="preserve">Overseas alternatives </w:t>
            </w:r>
          </w:p>
        </w:tc>
        <w:tc>
          <w:tcPr>
            <w:tcW w:w="1722"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18"/>
              </w:rPr>
              <w:t>505.2</w:t>
            </w:r>
          </w:p>
        </w:tc>
        <w:tc>
          <w:tcPr>
            <w:tcW w:w="1808"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22"/>
              </w:rPr>
              <w:t>548.</w:t>
            </w:r>
            <w:r>
              <w:rPr>
                <w:rFonts w:eastAsia="Arial Unicode MS" w:cs="Arial"/>
                <w:sz w:val="20"/>
                <w:szCs w:val="22"/>
              </w:rPr>
              <w:t>1</w:t>
            </w:r>
          </w:p>
        </w:tc>
        <w:tc>
          <w:tcPr>
            <w:tcW w:w="1809"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22"/>
              </w:rPr>
              <w:t>462.</w:t>
            </w:r>
            <w:r>
              <w:rPr>
                <w:rFonts w:eastAsia="Arial Unicode MS" w:cs="Arial"/>
                <w:sz w:val="20"/>
                <w:szCs w:val="22"/>
              </w:rPr>
              <w:t>3</w:t>
            </w:r>
          </w:p>
        </w:tc>
      </w:tr>
      <w:tr w:rsidR="00D66945" w:rsidRPr="007828C4" w:rsidTr="00A33453">
        <w:trPr>
          <w:trHeight w:val="431"/>
        </w:trPr>
        <w:tc>
          <w:tcPr>
            <w:tcW w:w="4252"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Overseas property</w:t>
            </w:r>
          </w:p>
        </w:tc>
        <w:tc>
          <w:tcPr>
            <w:tcW w:w="1722"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18"/>
              </w:rPr>
              <w:t>46.0</w:t>
            </w:r>
          </w:p>
        </w:tc>
        <w:tc>
          <w:tcPr>
            <w:tcW w:w="1808"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22"/>
              </w:rPr>
              <w:t>49.9</w:t>
            </w:r>
          </w:p>
        </w:tc>
        <w:tc>
          <w:tcPr>
            <w:tcW w:w="1809" w:type="dxa"/>
            <w:shd w:val="clear" w:color="auto" w:fill="auto"/>
          </w:tcPr>
          <w:p w:rsidR="00D66945" w:rsidRPr="00953B0F" w:rsidRDefault="00D66945" w:rsidP="00A33453">
            <w:pPr>
              <w:tabs>
                <w:tab w:val="left" w:pos="1080"/>
              </w:tabs>
              <w:jc w:val="right"/>
              <w:rPr>
                <w:rFonts w:eastAsia="Arial Unicode MS" w:cs="Arial"/>
                <w:sz w:val="20"/>
                <w:szCs w:val="22"/>
              </w:rPr>
            </w:pPr>
            <w:r w:rsidRPr="00953B0F">
              <w:rPr>
                <w:rFonts w:eastAsia="Arial Unicode MS" w:cs="Arial"/>
                <w:sz w:val="20"/>
                <w:szCs w:val="22"/>
              </w:rPr>
              <w:t>42.1</w:t>
            </w:r>
          </w:p>
        </w:tc>
      </w:tr>
      <w:tr w:rsidR="00D66945" w:rsidRPr="007828C4" w:rsidTr="00A33453">
        <w:trPr>
          <w:trHeight w:val="431"/>
        </w:trPr>
        <w:tc>
          <w:tcPr>
            <w:tcW w:w="4252" w:type="dxa"/>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Total assets available</w:t>
            </w:r>
            <w:r>
              <w:rPr>
                <w:rFonts w:eastAsia="Arial Unicode MS" w:cs="Arial"/>
                <w:b/>
                <w:sz w:val="20"/>
                <w:szCs w:val="22"/>
              </w:rPr>
              <w:t xml:space="preserve"> to pay benefits</w:t>
            </w:r>
          </w:p>
        </w:tc>
        <w:tc>
          <w:tcPr>
            <w:tcW w:w="1722" w:type="dxa"/>
            <w:shd w:val="clear" w:color="auto" w:fill="EDEDED" w:themeFill="accent3" w:themeFillTint="33"/>
          </w:tcPr>
          <w:p w:rsidR="00D66945" w:rsidRPr="00953B0F" w:rsidRDefault="00D66945" w:rsidP="00A33453">
            <w:pPr>
              <w:tabs>
                <w:tab w:val="left" w:pos="1080"/>
              </w:tabs>
              <w:jc w:val="right"/>
              <w:rPr>
                <w:rFonts w:eastAsia="Arial Unicode MS" w:cs="Arial"/>
                <w:b/>
                <w:sz w:val="20"/>
                <w:szCs w:val="22"/>
              </w:rPr>
            </w:pPr>
            <w:r>
              <w:rPr>
                <w:rFonts w:eastAsia="Arial Unicode MS" w:cs="Arial"/>
                <w:b/>
                <w:sz w:val="20"/>
                <w:szCs w:val="22"/>
              </w:rPr>
              <w:t>4,289.3</w:t>
            </w:r>
          </w:p>
        </w:tc>
        <w:tc>
          <w:tcPr>
            <w:tcW w:w="1808" w:type="dxa"/>
            <w:shd w:val="clear" w:color="auto" w:fill="EDEDED" w:themeFill="accent3" w:themeFillTint="33"/>
          </w:tcPr>
          <w:p w:rsidR="00D66945" w:rsidRPr="00953B0F" w:rsidRDefault="00D66945" w:rsidP="00A33453">
            <w:pPr>
              <w:tabs>
                <w:tab w:val="left" w:pos="1080"/>
              </w:tabs>
              <w:jc w:val="right"/>
              <w:rPr>
                <w:rFonts w:eastAsia="Arial Unicode MS" w:cs="Arial"/>
                <w:b/>
                <w:sz w:val="20"/>
                <w:szCs w:val="22"/>
              </w:rPr>
            </w:pPr>
            <w:r w:rsidRPr="00953B0F">
              <w:rPr>
                <w:rFonts w:eastAsia="Arial Unicode MS" w:cs="Arial"/>
                <w:b/>
                <w:sz w:val="20"/>
                <w:szCs w:val="22"/>
              </w:rPr>
              <w:t>4,</w:t>
            </w:r>
            <w:r>
              <w:rPr>
                <w:rFonts w:eastAsia="Arial Unicode MS" w:cs="Arial"/>
                <w:b/>
                <w:sz w:val="20"/>
                <w:szCs w:val="22"/>
              </w:rPr>
              <w:t>653.9</w:t>
            </w:r>
          </w:p>
        </w:tc>
        <w:tc>
          <w:tcPr>
            <w:tcW w:w="1809" w:type="dxa"/>
            <w:shd w:val="clear" w:color="auto" w:fill="EDEDED" w:themeFill="accent3" w:themeFillTint="33"/>
          </w:tcPr>
          <w:p w:rsidR="00D66945" w:rsidRPr="00953B0F" w:rsidRDefault="00D66945" w:rsidP="00A33453">
            <w:pPr>
              <w:tabs>
                <w:tab w:val="left" w:pos="1080"/>
              </w:tabs>
              <w:jc w:val="right"/>
              <w:rPr>
                <w:rFonts w:eastAsia="Arial Unicode MS" w:cs="Arial"/>
                <w:b/>
                <w:sz w:val="20"/>
                <w:szCs w:val="22"/>
              </w:rPr>
            </w:pPr>
            <w:r w:rsidRPr="00953B0F">
              <w:rPr>
                <w:rFonts w:eastAsia="Arial Unicode MS" w:cs="Arial"/>
                <w:b/>
                <w:sz w:val="20"/>
                <w:szCs w:val="22"/>
              </w:rPr>
              <w:t>3,924.</w:t>
            </w:r>
            <w:r>
              <w:rPr>
                <w:rFonts w:eastAsia="Arial Unicode MS" w:cs="Arial"/>
                <w:b/>
                <w:sz w:val="20"/>
                <w:szCs w:val="22"/>
              </w:rPr>
              <w:t>7</w:t>
            </w:r>
          </w:p>
        </w:tc>
      </w:tr>
    </w:tbl>
    <w:p w:rsidR="00D66945" w:rsidRPr="007828C4" w:rsidRDefault="00D66945" w:rsidP="00D66945">
      <w:pPr>
        <w:tabs>
          <w:tab w:val="left" w:pos="1080"/>
        </w:tabs>
        <w:ind w:left="709"/>
        <w:rPr>
          <w:rFonts w:eastAsia="Arial Unicode MS" w:cs="Arial"/>
          <w:sz w:val="22"/>
          <w:szCs w:val="22"/>
        </w:rPr>
      </w:pPr>
    </w:p>
    <w:tbl>
      <w:tblPr>
        <w:tblStyle w:val="TableGrid2"/>
        <w:tblW w:w="0" w:type="auto"/>
        <w:tblInd w:w="-3"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4252"/>
        <w:gridCol w:w="1722"/>
        <w:gridCol w:w="1808"/>
        <w:gridCol w:w="1809"/>
      </w:tblGrid>
      <w:tr w:rsidR="00D66945" w:rsidRPr="007828C4" w:rsidTr="00A33453">
        <w:trPr>
          <w:trHeight w:val="431"/>
        </w:trPr>
        <w:tc>
          <w:tcPr>
            <w:tcW w:w="4252" w:type="dxa"/>
            <w:tcBorders>
              <w:bottom w:val="nil"/>
            </w:tcBorders>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Currency exposure - asset type</w:t>
            </w:r>
          </w:p>
        </w:tc>
        <w:tc>
          <w:tcPr>
            <w:tcW w:w="1722" w:type="dxa"/>
            <w:shd w:val="clear" w:color="auto" w:fill="E7E6E6" w:themeFill="background2"/>
          </w:tcPr>
          <w:p w:rsidR="00D66945" w:rsidRPr="007828C4" w:rsidRDefault="00D66945" w:rsidP="00A33453">
            <w:pPr>
              <w:tabs>
                <w:tab w:val="left" w:pos="1080"/>
              </w:tabs>
              <w:rPr>
                <w:rFonts w:eastAsia="Arial Unicode MS" w:cs="Arial"/>
                <w:sz w:val="20"/>
                <w:szCs w:val="22"/>
              </w:rPr>
            </w:pPr>
          </w:p>
        </w:tc>
        <w:tc>
          <w:tcPr>
            <w:tcW w:w="3617" w:type="dxa"/>
            <w:gridSpan w:val="2"/>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Change in year in net assets available to pay benefits</w:t>
            </w:r>
          </w:p>
        </w:tc>
      </w:tr>
      <w:tr w:rsidR="00D66945" w:rsidRPr="007828C4" w:rsidTr="00A33453">
        <w:trPr>
          <w:trHeight w:val="431"/>
        </w:trPr>
        <w:tc>
          <w:tcPr>
            <w:tcW w:w="4252" w:type="dxa"/>
            <w:tcBorders>
              <w:top w:val="nil"/>
              <w:bottom w:val="nil"/>
            </w:tcBorders>
            <w:shd w:val="clear" w:color="auto" w:fill="E7E6E6" w:themeFill="background2"/>
          </w:tcPr>
          <w:p w:rsidR="00D66945" w:rsidRPr="007828C4" w:rsidRDefault="00D66945" w:rsidP="00A33453">
            <w:pPr>
              <w:tabs>
                <w:tab w:val="left" w:pos="1080"/>
              </w:tabs>
              <w:rPr>
                <w:rFonts w:eastAsia="Arial Unicode MS" w:cs="Arial"/>
                <w:sz w:val="20"/>
                <w:szCs w:val="22"/>
              </w:rPr>
            </w:pPr>
          </w:p>
        </w:tc>
        <w:tc>
          <w:tcPr>
            <w:tcW w:w="1722"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31 March 201</w:t>
            </w:r>
            <w:r>
              <w:rPr>
                <w:rFonts w:eastAsia="Arial Unicode MS" w:cs="Arial"/>
                <w:b/>
                <w:sz w:val="20"/>
                <w:szCs w:val="22"/>
              </w:rPr>
              <w:t>7</w:t>
            </w:r>
          </w:p>
        </w:tc>
        <w:tc>
          <w:tcPr>
            <w:tcW w:w="1808"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w:t>
            </w:r>
            <w:r w:rsidRPr="007828C4">
              <w:rPr>
                <w:rFonts w:eastAsia="Arial Unicode MS" w:cs="Arial"/>
                <w:b/>
                <w:sz w:val="20"/>
                <w:szCs w:val="22"/>
                <w:shd w:val="clear" w:color="auto" w:fill="E7E6E6" w:themeFill="background2"/>
              </w:rPr>
              <w:t>6.1%</w:t>
            </w:r>
          </w:p>
        </w:tc>
        <w:tc>
          <w:tcPr>
            <w:tcW w:w="1809"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w:t>
            </w:r>
            <w:r w:rsidRPr="007828C4">
              <w:rPr>
                <w:rFonts w:eastAsia="Arial Unicode MS" w:cs="Arial"/>
                <w:b/>
                <w:sz w:val="20"/>
                <w:szCs w:val="22"/>
                <w:shd w:val="clear" w:color="auto" w:fill="E7E6E6" w:themeFill="background2"/>
              </w:rPr>
              <w:t>6.1%</w:t>
            </w:r>
          </w:p>
        </w:tc>
      </w:tr>
      <w:tr w:rsidR="00D66945" w:rsidRPr="007828C4" w:rsidTr="00A33453">
        <w:trPr>
          <w:trHeight w:val="431"/>
        </w:trPr>
        <w:tc>
          <w:tcPr>
            <w:tcW w:w="4252"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sz w:val="20"/>
                <w:szCs w:val="22"/>
              </w:rPr>
            </w:pPr>
          </w:p>
        </w:tc>
        <w:tc>
          <w:tcPr>
            <w:tcW w:w="1722"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808"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809"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r>
      <w:tr w:rsidR="00D66945" w:rsidRPr="007828C4" w:rsidTr="00A33453">
        <w:trPr>
          <w:trHeight w:val="431"/>
        </w:trPr>
        <w:tc>
          <w:tcPr>
            <w:tcW w:w="4252"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Overseas bonds (including index linked)</w:t>
            </w:r>
          </w:p>
        </w:tc>
        <w:tc>
          <w:tcPr>
            <w:tcW w:w="1722"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18"/>
              </w:rPr>
              <w:t>1,071.4</w:t>
            </w:r>
          </w:p>
        </w:tc>
        <w:tc>
          <w:tcPr>
            <w:tcW w:w="1808" w:type="dxa"/>
          </w:tcPr>
          <w:p w:rsidR="00D66945" w:rsidRPr="007828C4" w:rsidRDefault="00D66945" w:rsidP="00A33453">
            <w:pPr>
              <w:tabs>
                <w:tab w:val="left" w:pos="1080"/>
              </w:tabs>
              <w:jc w:val="right"/>
              <w:rPr>
                <w:rFonts w:eastAsia="Arial Unicode MS" w:cs="Arial"/>
                <w:sz w:val="20"/>
                <w:szCs w:val="22"/>
              </w:rPr>
            </w:pPr>
            <w:r w:rsidRPr="007828C4">
              <w:rPr>
                <w:rFonts w:cs="Arial"/>
                <w:sz w:val="22"/>
                <w:szCs w:val="22"/>
              </w:rPr>
              <w:t>3,787.3</w:t>
            </w:r>
          </w:p>
        </w:tc>
        <w:tc>
          <w:tcPr>
            <w:tcW w:w="1809"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3,351.8</w:t>
            </w:r>
          </w:p>
        </w:tc>
      </w:tr>
      <w:tr w:rsidR="00D66945" w:rsidRPr="007828C4" w:rsidTr="00A33453">
        <w:trPr>
          <w:trHeight w:val="431"/>
        </w:trPr>
        <w:tc>
          <w:tcPr>
            <w:tcW w:w="4252"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Overseas equities</w:t>
            </w:r>
          </w:p>
        </w:tc>
        <w:tc>
          <w:tcPr>
            <w:tcW w:w="1722"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18"/>
              </w:rPr>
              <w:t>3,569.6</w:t>
            </w:r>
          </w:p>
        </w:tc>
        <w:tc>
          <w:tcPr>
            <w:tcW w:w="1808"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1,136.7</w:t>
            </w:r>
          </w:p>
        </w:tc>
        <w:tc>
          <w:tcPr>
            <w:tcW w:w="1809"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1,006.0</w:t>
            </w:r>
          </w:p>
        </w:tc>
      </w:tr>
      <w:tr w:rsidR="00D66945" w:rsidRPr="007828C4" w:rsidTr="00A33453">
        <w:trPr>
          <w:trHeight w:val="431"/>
        </w:trPr>
        <w:tc>
          <w:tcPr>
            <w:tcW w:w="4252"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 xml:space="preserve">Overseas alternatives </w:t>
            </w:r>
          </w:p>
        </w:tc>
        <w:tc>
          <w:tcPr>
            <w:tcW w:w="1722"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18"/>
              </w:rPr>
              <w:t>1,101.9</w:t>
            </w:r>
          </w:p>
        </w:tc>
        <w:tc>
          <w:tcPr>
            <w:tcW w:w="1808"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1,169.1</w:t>
            </w:r>
          </w:p>
        </w:tc>
        <w:tc>
          <w:tcPr>
            <w:tcW w:w="1809"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1,034.6</w:t>
            </w:r>
          </w:p>
        </w:tc>
      </w:tr>
      <w:tr w:rsidR="00D66945" w:rsidRPr="007828C4" w:rsidTr="00A33453">
        <w:trPr>
          <w:trHeight w:val="431"/>
        </w:trPr>
        <w:tc>
          <w:tcPr>
            <w:tcW w:w="4252"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Overseas property</w:t>
            </w:r>
          </w:p>
        </w:tc>
        <w:tc>
          <w:tcPr>
            <w:tcW w:w="1722"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18"/>
              </w:rPr>
              <w:t>41.0</w:t>
            </w:r>
          </w:p>
        </w:tc>
        <w:tc>
          <w:tcPr>
            <w:tcW w:w="1808" w:type="dxa"/>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43.5</w:t>
            </w:r>
          </w:p>
        </w:tc>
        <w:tc>
          <w:tcPr>
            <w:tcW w:w="1809"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38.5</w:t>
            </w:r>
          </w:p>
        </w:tc>
      </w:tr>
      <w:tr w:rsidR="00D66945" w:rsidRPr="007828C4" w:rsidTr="00A33453">
        <w:trPr>
          <w:trHeight w:val="431"/>
        </w:trPr>
        <w:tc>
          <w:tcPr>
            <w:tcW w:w="4252" w:type="dxa"/>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Total assets available</w:t>
            </w:r>
            <w:r>
              <w:rPr>
                <w:rFonts w:eastAsia="Arial Unicode MS" w:cs="Arial"/>
                <w:b/>
                <w:sz w:val="20"/>
                <w:szCs w:val="22"/>
              </w:rPr>
              <w:t xml:space="preserve"> to pay benefits</w:t>
            </w:r>
          </w:p>
        </w:tc>
        <w:tc>
          <w:tcPr>
            <w:tcW w:w="1722"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5,783.9</w:t>
            </w:r>
          </w:p>
        </w:tc>
        <w:tc>
          <w:tcPr>
            <w:tcW w:w="1808"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6,136.6</w:t>
            </w:r>
          </w:p>
        </w:tc>
        <w:tc>
          <w:tcPr>
            <w:tcW w:w="1809"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5,431.0</w:t>
            </w:r>
          </w:p>
        </w:tc>
      </w:tr>
    </w:tbl>
    <w:p w:rsidR="00D66945" w:rsidRPr="007828C4" w:rsidRDefault="00D66945" w:rsidP="00D66945">
      <w:pPr>
        <w:rPr>
          <w:rFonts w:eastAsia="Arial Unicode MS" w:cs="Arial"/>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 xml:space="preserve">.6 Credit risk </w:t>
      </w:r>
      <w:r w:rsidRPr="007828C4">
        <w:rPr>
          <w:rFonts w:eastAsia="Arial Unicode MS" w:cs="Arial"/>
          <w:sz w:val="32"/>
          <w:szCs w:val="22"/>
        </w:rPr>
        <w:t xml:space="preserve">  </w:t>
      </w:r>
    </w:p>
    <w:p w:rsidR="00D66945" w:rsidRPr="007828C4" w:rsidRDefault="00D66945" w:rsidP="00D66945">
      <w:pPr>
        <w:ind w:left="142" w:firstLine="567"/>
        <w:rPr>
          <w:rFonts w:eastAsia="Arial Unicode MS" w:cs="Arial"/>
          <w:sz w:val="22"/>
          <w:szCs w:val="22"/>
        </w:rPr>
      </w:pPr>
      <w:r w:rsidRPr="007828C4">
        <w:rPr>
          <w:rFonts w:eastAsia="Arial Unicode MS" w:cs="Arial"/>
          <w:sz w:val="22"/>
          <w:szCs w:val="22"/>
        </w:rPr>
        <w:t xml:space="preserve">  </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Credit risk represents the risk that the counterparty to a transaction or a financial instrument will fail to discharge an obligation and cause the Fund to incur financial loss.  The market values of investments generally reflect an assessment of credit in their pricing and consequently the risk of loss is implicitly provided for in the carrying value of the Fund's financial asset and liabilities.   </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In essence the Fund's entire investment portfolio is exposed to some form of credit risk, with the exception of the derivatives positions, where the risk equates to the net market value of a positive derivative position.  However, the selection of high quality counterparties, brokers and financial institutions minimise the credit risk that may occur through the failure to settle a transaction in a timely manner. </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Contractual credit risk is represented by the net payment or receipts that remain outstanding, and the cost of replacing the derivatives position in the event of a counterparty default.  The residual risk is minimal due to the various insurance policies held by the exchanges to cover defaulting counterparties. </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Credit risk on over-the-counter derivatives contracts is minimised as counterparties are recognised financial intermediaries with acceptable credit ratings determined by a recognised rating agency. </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Deposits are not made with banks and financial instructions unless they are rated independent and meet the Fund's credit criteria.  The Fund has also set limits as to the maximum percentage of the deposits placed with any class of financial institution.  </w:t>
      </w:r>
    </w:p>
    <w:p w:rsidR="00D66945" w:rsidRPr="007828C4" w:rsidRDefault="00D66945" w:rsidP="00D66945">
      <w:pPr>
        <w:rPr>
          <w:rFonts w:eastAsia="Arial Unicode MS" w:cs="Arial"/>
          <w:sz w:val="22"/>
          <w:szCs w:val="22"/>
        </w:rPr>
      </w:pPr>
      <w:r w:rsidRPr="007828C4">
        <w:rPr>
          <w:rFonts w:eastAsia="Arial Unicode MS" w:cs="Arial"/>
          <w:sz w:val="22"/>
          <w:szCs w:val="22"/>
        </w:rPr>
        <w:t>The Fund's cash holding under its treasury management arrangements at 31 March 201</w:t>
      </w:r>
      <w:r>
        <w:rPr>
          <w:rFonts w:eastAsia="Arial Unicode MS" w:cs="Arial"/>
          <w:sz w:val="22"/>
          <w:szCs w:val="22"/>
        </w:rPr>
        <w:t>8</w:t>
      </w:r>
      <w:r w:rsidRPr="007828C4">
        <w:rPr>
          <w:rFonts w:eastAsia="Arial Unicode MS" w:cs="Arial"/>
          <w:sz w:val="22"/>
          <w:szCs w:val="22"/>
        </w:rPr>
        <w:t xml:space="preserve"> was </w:t>
      </w:r>
      <w:r w:rsidRPr="00D9251C">
        <w:rPr>
          <w:rFonts w:eastAsia="Arial Unicode MS" w:cs="Arial"/>
          <w:sz w:val="22"/>
          <w:szCs w:val="22"/>
        </w:rPr>
        <w:t>£</w:t>
      </w:r>
      <w:r>
        <w:rPr>
          <w:rFonts w:eastAsia="Arial Unicode MS" w:cs="Arial"/>
          <w:sz w:val="22"/>
          <w:szCs w:val="22"/>
        </w:rPr>
        <w:t>162.0m</w:t>
      </w:r>
      <w:r w:rsidRPr="007828C4">
        <w:rPr>
          <w:rFonts w:eastAsia="Arial Unicode MS" w:cs="Arial"/>
          <w:sz w:val="22"/>
          <w:szCs w:val="22"/>
        </w:rPr>
        <w:t xml:space="preserve"> (31 March 201</w:t>
      </w:r>
      <w:r>
        <w:rPr>
          <w:rFonts w:eastAsia="Arial Unicode MS" w:cs="Arial"/>
          <w:sz w:val="22"/>
          <w:szCs w:val="22"/>
        </w:rPr>
        <w:t>7</w:t>
      </w:r>
      <w:r w:rsidRPr="007828C4">
        <w:rPr>
          <w:rFonts w:eastAsia="Arial Unicode MS" w:cs="Arial"/>
          <w:sz w:val="22"/>
          <w:szCs w:val="22"/>
        </w:rPr>
        <w:t>: £</w:t>
      </w:r>
      <w:r>
        <w:rPr>
          <w:rFonts w:eastAsia="Arial Unicode MS" w:cs="Arial"/>
          <w:sz w:val="22"/>
          <w:szCs w:val="22"/>
        </w:rPr>
        <w:t>56</w:t>
      </w:r>
      <w:r w:rsidRPr="007828C4">
        <w:rPr>
          <w:rFonts w:eastAsia="Arial Unicode MS" w:cs="Arial"/>
          <w:sz w:val="22"/>
          <w:szCs w:val="22"/>
        </w:rPr>
        <w:t xml:space="preserve">.3m.)  This was held with the following institutions: </w:t>
      </w:r>
    </w:p>
    <w:p w:rsidR="00D66945" w:rsidRPr="007828C4" w:rsidRDefault="00D66945" w:rsidP="00D66945">
      <w:pPr>
        <w:ind w:left="709"/>
        <w:rPr>
          <w:rFonts w:eastAsia="Arial Unicode MS" w:cs="Arial"/>
          <w:sz w:val="22"/>
          <w:szCs w:val="22"/>
        </w:rPr>
      </w:pPr>
    </w:p>
    <w:tbl>
      <w:tblPr>
        <w:tblStyle w:val="TableGrid2"/>
        <w:tblW w:w="9639" w:type="dxa"/>
        <w:tblInd w:w="-5" w:type="dxa"/>
        <w:tblBorders>
          <w:top w:val="single" w:sz="4" w:space="0" w:color="008080"/>
          <w:left w:val="single" w:sz="4" w:space="0" w:color="008080"/>
          <w:bottom w:val="single" w:sz="4" w:space="0" w:color="008080"/>
          <w:right w:val="single" w:sz="4" w:space="0" w:color="008080"/>
          <w:insideH w:val="single" w:sz="6" w:space="0" w:color="008080"/>
          <w:insideV w:val="single" w:sz="6" w:space="0" w:color="008080"/>
        </w:tblBorders>
        <w:tblLook w:val="04A0" w:firstRow="1" w:lastRow="0" w:firstColumn="1" w:lastColumn="0" w:noHBand="0" w:noVBand="1"/>
      </w:tblPr>
      <w:tblGrid>
        <w:gridCol w:w="1701"/>
        <w:gridCol w:w="4820"/>
        <w:gridCol w:w="1417"/>
        <w:gridCol w:w="1701"/>
      </w:tblGrid>
      <w:tr w:rsidR="00D66945" w:rsidRPr="007828C4" w:rsidTr="00A33453">
        <w:trPr>
          <w:trHeight w:val="431"/>
        </w:trPr>
        <w:tc>
          <w:tcPr>
            <w:tcW w:w="170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31 March 201</w:t>
            </w:r>
            <w:r>
              <w:rPr>
                <w:rFonts w:eastAsia="Arial Unicode MS" w:cs="Arial"/>
                <w:b/>
                <w:sz w:val="20"/>
                <w:szCs w:val="22"/>
              </w:rPr>
              <w:t>7</w:t>
            </w:r>
          </w:p>
        </w:tc>
        <w:tc>
          <w:tcPr>
            <w:tcW w:w="4820" w:type="dxa"/>
            <w:tcBorders>
              <w:top w:val="single" w:sz="4" w:space="0" w:color="008080"/>
              <w:bottom w:val="nil"/>
            </w:tcBorders>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Summary</w:t>
            </w:r>
          </w:p>
        </w:tc>
        <w:tc>
          <w:tcPr>
            <w:tcW w:w="1417" w:type="dxa"/>
            <w:tcBorders>
              <w:top w:val="single" w:sz="4" w:space="0" w:color="008080"/>
              <w:bottom w:val="nil"/>
            </w:tcBorders>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Rating</w:t>
            </w:r>
          </w:p>
        </w:tc>
        <w:tc>
          <w:tcPr>
            <w:tcW w:w="1701"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31 March 201</w:t>
            </w:r>
            <w:r>
              <w:rPr>
                <w:rFonts w:eastAsia="Arial Unicode MS" w:cs="Arial"/>
                <w:b/>
                <w:sz w:val="20"/>
                <w:szCs w:val="22"/>
              </w:rPr>
              <w:t>8</w:t>
            </w:r>
          </w:p>
        </w:tc>
      </w:tr>
      <w:tr w:rsidR="00D66945" w:rsidRPr="007828C4" w:rsidTr="00A33453">
        <w:trPr>
          <w:trHeight w:val="431"/>
        </w:trPr>
        <w:tc>
          <w:tcPr>
            <w:tcW w:w="170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4820"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b/>
                <w:sz w:val="20"/>
                <w:szCs w:val="22"/>
              </w:rPr>
            </w:pPr>
          </w:p>
        </w:tc>
        <w:tc>
          <w:tcPr>
            <w:tcW w:w="1417" w:type="dxa"/>
            <w:tcBorders>
              <w:top w:val="nil"/>
            </w:tcBorders>
            <w:shd w:val="clear" w:color="auto" w:fill="E7E6E6" w:themeFill="background2"/>
          </w:tcPr>
          <w:p w:rsidR="00D66945" w:rsidRPr="007828C4" w:rsidRDefault="00D66945" w:rsidP="00A33453">
            <w:pPr>
              <w:tabs>
                <w:tab w:val="left" w:pos="1080"/>
              </w:tabs>
              <w:jc w:val="right"/>
              <w:rPr>
                <w:rFonts w:eastAsia="Arial Unicode MS" w:cs="Arial"/>
                <w:b/>
                <w:sz w:val="20"/>
                <w:szCs w:val="22"/>
              </w:rPr>
            </w:pPr>
          </w:p>
        </w:tc>
        <w:tc>
          <w:tcPr>
            <w:tcW w:w="170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r>
      <w:tr w:rsidR="00D66945" w:rsidRPr="007828C4" w:rsidTr="00A33453">
        <w:trPr>
          <w:trHeight w:val="302"/>
        </w:trPr>
        <w:tc>
          <w:tcPr>
            <w:tcW w:w="1701" w:type="dxa"/>
            <w:shd w:val="clear" w:color="auto" w:fill="E7E6E6" w:themeFill="background2"/>
          </w:tcPr>
          <w:p w:rsidR="00D66945" w:rsidRPr="007828C4" w:rsidRDefault="00D66945" w:rsidP="00A33453">
            <w:pPr>
              <w:tabs>
                <w:tab w:val="left" w:pos="1080"/>
              </w:tabs>
              <w:rPr>
                <w:rFonts w:eastAsia="Arial Unicode MS" w:cs="Arial"/>
                <w:b/>
                <w:sz w:val="20"/>
                <w:szCs w:val="22"/>
              </w:rPr>
            </w:pPr>
          </w:p>
        </w:tc>
        <w:tc>
          <w:tcPr>
            <w:tcW w:w="7938" w:type="dxa"/>
            <w:gridSpan w:val="3"/>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Bank deposit accounts</w:t>
            </w:r>
          </w:p>
        </w:tc>
      </w:tr>
      <w:tr w:rsidR="00D66945" w:rsidRPr="007828C4" w:rsidTr="00A33453">
        <w:trPr>
          <w:trHeight w:val="431"/>
        </w:trPr>
        <w:tc>
          <w:tcPr>
            <w:tcW w:w="170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47.9</w:t>
            </w:r>
          </w:p>
        </w:tc>
        <w:tc>
          <w:tcPr>
            <w:tcW w:w="4820"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Northern Trust</w:t>
            </w:r>
          </w:p>
        </w:tc>
        <w:tc>
          <w:tcPr>
            <w:tcW w:w="1417" w:type="dxa"/>
          </w:tcPr>
          <w:p w:rsidR="00D66945" w:rsidRPr="007828C4" w:rsidRDefault="00D66945" w:rsidP="00424687">
            <w:pPr>
              <w:tabs>
                <w:tab w:val="left" w:pos="330"/>
                <w:tab w:val="center" w:pos="600"/>
                <w:tab w:val="left" w:pos="1080"/>
              </w:tabs>
              <w:jc w:val="center"/>
              <w:rPr>
                <w:rFonts w:eastAsia="Arial Unicode MS" w:cs="Arial"/>
                <w:sz w:val="20"/>
                <w:szCs w:val="22"/>
                <w:highlight w:val="magenta"/>
              </w:rPr>
            </w:pPr>
            <w:r w:rsidRPr="007828C4">
              <w:rPr>
                <w:rFonts w:eastAsia="Arial Unicode MS" w:cs="Arial"/>
                <w:sz w:val="20"/>
                <w:szCs w:val="22"/>
              </w:rPr>
              <w:t>A+</w:t>
            </w:r>
          </w:p>
        </w:tc>
        <w:tc>
          <w:tcPr>
            <w:tcW w:w="1701" w:type="dxa"/>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154.5</w:t>
            </w:r>
          </w:p>
        </w:tc>
      </w:tr>
      <w:tr w:rsidR="00D66945" w:rsidRPr="007828C4" w:rsidTr="00A33453">
        <w:trPr>
          <w:trHeight w:val="431"/>
        </w:trPr>
        <w:tc>
          <w:tcPr>
            <w:tcW w:w="1701" w:type="dxa"/>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sz w:val="20"/>
                <w:szCs w:val="22"/>
              </w:rPr>
              <w:t>8.4</w:t>
            </w:r>
          </w:p>
        </w:tc>
        <w:tc>
          <w:tcPr>
            <w:tcW w:w="4820"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Svenska Handelsbanken</w:t>
            </w:r>
          </w:p>
        </w:tc>
        <w:tc>
          <w:tcPr>
            <w:tcW w:w="1417" w:type="dxa"/>
          </w:tcPr>
          <w:p w:rsidR="00D66945" w:rsidRPr="007828C4" w:rsidRDefault="00424687" w:rsidP="00A33453">
            <w:pPr>
              <w:tabs>
                <w:tab w:val="left" w:pos="1080"/>
              </w:tabs>
              <w:jc w:val="center"/>
              <w:rPr>
                <w:rFonts w:eastAsia="Arial Unicode MS" w:cs="Arial"/>
                <w:sz w:val="20"/>
                <w:szCs w:val="22"/>
                <w:highlight w:val="magenta"/>
              </w:rPr>
            </w:pPr>
            <w:r>
              <w:rPr>
                <w:rFonts w:eastAsia="Arial Unicode MS" w:cs="Arial"/>
                <w:sz w:val="20"/>
                <w:szCs w:val="22"/>
              </w:rPr>
              <w:t>AA-</w:t>
            </w:r>
          </w:p>
        </w:tc>
        <w:tc>
          <w:tcPr>
            <w:tcW w:w="1701" w:type="dxa"/>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7.5</w:t>
            </w:r>
          </w:p>
        </w:tc>
      </w:tr>
      <w:tr w:rsidR="00D66945" w:rsidRPr="007828C4" w:rsidTr="00A33453">
        <w:trPr>
          <w:trHeight w:val="431"/>
        </w:trPr>
        <w:tc>
          <w:tcPr>
            <w:tcW w:w="170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56.3</w:t>
            </w:r>
          </w:p>
        </w:tc>
        <w:tc>
          <w:tcPr>
            <w:tcW w:w="4820" w:type="dxa"/>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Total</w:t>
            </w:r>
          </w:p>
        </w:tc>
        <w:tc>
          <w:tcPr>
            <w:tcW w:w="1417"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p>
        </w:tc>
        <w:tc>
          <w:tcPr>
            <w:tcW w:w="1701"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162.0</w:t>
            </w:r>
          </w:p>
        </w:tc>
      </w:tr>
    </w:tbl>
    <w:p w:rsidR="00D66945" w:rsidRDefault="00D66945" w:rsidP="00D66945">
      <w:pPr>
        <w:tabs>
          <w:tab w:val="left" w:pos="1080"/>
        </w:tabs>
        <w:ind w:left="709"/>
        <w:jc w:val="right"/>
        <w:rPr>
          <w:rFonts w:eastAsia="Arial Unicode MS" w:cs="Arial"/>
          <w:sz w:val="22"/>
          <w:szCs w:val="22"/>
        </w:rPr>
      </w:pPr>
    </w:p>
    <w:p w:rsidR="0090607B" w:rsidRPr="007828C4" w:rsidRDefault="0090607B" w:rsidP="00D66945">
      <w:pPr>
        <w:tabs>
          <w:tab w:val="left" w:pos="1080"/>
        </w:tabs>
        <w:ind w:left="709"/>
        <w:jc w:val="right"/>
        <w:rPr>
          <w:rFonts w:eastAsia="Arial Unicode MS" w:cs="Arial"/>
          <w:sz w:val="22"/>
          <w:szCs w:val="22"/>
        </w:rPr>
      </w:pPr>
    </w:p>
    <w:p w:rsidR="00D66945" w:rsidRPr="007828C4" w:rsidRDefault="00D66945" w:rsidP="00D66945">
      <w:pPr>
        <w:rPr>
          <w:rFonts w:eastAsia="Arial Unicode MS" w:cs="Arial"/>
          <w:b/>
          <w:sz w:val="32"/>
          <w:szCs w:val="22"/>
        </w:rPr>
      </w:pPr>
      <w:r w:rsidRPr="007828C4">
        <w:rPr>
          <w:rFonts w:eastAsia="Arial Unicode MS" w:cs="Arial"/>
          <w:b/>
          <w:sz w:val="32"/>
          <w:szCs w:val="22"/>
        </w:rPr>
        <w:t>1</w:t>
      </w:r>
      <w:r>
        <w:rPr>
          <w:rFonts w:eastAsia="Arial Unicode MS" w:cs="Arial"/>
          <w:b/>
          <w:sz w:val="32"/>
          <w:szCs w:val="22"/>
        </w:rPr>
        <w:t>7</w:t>
      </w:r>
      <w:r w:rsidRPr="007828C4">
        <w:rPr>
          <w:rFonts w:eastAsia="Arial Unicode MS" w:cs="Arial"/>
          <w:b/>
          <w:sz w:val="32"/>
          <w:szCs w:val="22"/>
        </w:rPr>
        <w:t>.7 Liquidity risks</w:t>
      </w:r>
    </w:p>
    <w:p w:rsidR="00D66945" w:rsidRPr="007828C4" w:rsidRDefault="00D66945" w:rsidP="00D66945">
      <w:pPr>
        <w:rPr>
          <w:rFonts w:eastAsia="Arial Unicode MS" w:cs="Arial"/>
          <w:b/>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Liquidity risk represents the risk that the Fund will not be able to meet its financial obligations as they fall due.  The Fund therefore takes steps to ensure that there are adequate cash resources to meet its commitments. </w:t>
      </w:r>
      <w:r>
        <w:rPr>
          <w:rFonts w:eastAsia="Arial Unicode MS" w:cs="Arial"/>
          <w:sz w:val="22"/>
          <w:szCs w:val="22"/>
        </w:rPr>
        <w:t>T</w:t>
      </w:r>
      <w:r w:rsidRPr="007828C4">
        <w:rPr>
          <w:rFonts w:eastAsia="Arial Unicode MS" w:cs="Arial"/>
          <w:sz w:val="22"/>
          <w:szCs w:val="22"/>
        </w:rPr>
        <w:t xml:space="preserve">he Fund has immediate access to its cash holdings. </w:t>
      </w:r>
    </w:p>
    <w:p w:rsidR="00D66945" w:rsidRPr="007828C4" w:rsidRDefault="00D66945" w:rsidP="00D66945">
      <w:pPr>
        <w:ind w:left="709"/>
        <w:rPr>
          <w:rFonts w:eastAsia="Arial Unicode MS" w:cs="Arial"/>
          <w:sz w:val="22"/>
          <w:szCs w:val="22"/>
        </w:rPr>
      </w:pPr>
    </w:p>
    <w:p w:rsidR="00D66945" w:rsidRPr="007828C4" w:rsidRDefault="00D66945" w:rsidP="0090607B">
      <w:pPr>
        <w:rPr>
          <w:rFonts w:eastAsia="Arial Unicode MS" w:cs="Arial"/>
          <w:sz w:val="22"/>
          <w:szCs w:val="22"/>
        </w:rPr>
      </w:pPr>
      <w:r w:rsidRPr="007828C4">
        <w:rPr>
          <w:rFonts w:eastAsia="Arial Unicode MS" w:cs="Arial"/>
          <w:sz w:val="22"/>
          <w:szCs w:val="22"/>
        </w:rPr>
        <w:t xml:space="preserve">Management prepares periodic cash flow forecasts to understand and manage the timing of the Fund's cash flow.  The appropriate strategic level of cash balances to be held forms part of the Funds investment strategy. </w:t>
      </w:r>
    </w:p>
    <w:p w:rsidR="00D66945" w:rsidRPr="007828C4" w:rsidRDefault="00D66945" w:rsidP="00D66945">
      <w:pPr>
        <w:rPr>
          <w:rFonts w:eastAsia="Arial Unicode MS" w:cs="Arial"/>
          <w:sz w:val="22"/>
          <w:szCs w:val="22"/>
        </w:rPr>
      </w:pPr>
      <w:r>
        <w:rPr>
          <w:rFonts w:eastAsia="Arial Unicode MS" w:cs="Arial"/>
          <w:sz w:val="22"/>
          <w:szCs w:val="22"/>
        </w:rPr>
        <w:t>The Fund has financial liabilities of £149.4m</w:t>
      </w:r>
      <w:r w:rsidRPr="007828C4">
        <w:rPr>
          <w:rFonts w:eastAsia="Arial Unicode MS" w:cs="Arial"/>
          <w:sz w:val="22"/>
          <w:szCs w:val="22"/>
        </w:rPr>
        <w:t xml:space="preserve"> at 31 March 201</w:t>
      </w:r>
      <w:r>
        <w:rPr>
          <w:rFonts w:eastAsia="Arial Unicode MS" w:cs="Arial"/>
          <w:sz w:val="22"/>
          <w:szCs w:val="22"/>
        </w:rPr>
        <w:t xml:space="preserve">8, of which £68.5m is due after more than one year. This long term liability represents receipts in advance of employer deficit contributions.  See note 20 for more detail. </w:t>
      </w:r>
    </w:p>
    <w:p w:rsidR="00D66945" w:rsidRDefault="00D66945" w:rsidP="00D66945">
      <w:pPr>
        <w:ind w:left="709"/>
        <w:rPr>
          <w:rFonts w:eastAsia="Arial Unicode MS" w:cs="Arial"/>
          <w:sz w:val="22"/>
          <w:szCs w:val="22"/>
        </w:rPr>
      </w:pPr>
    </w:p>
    <w:p w:rsidR="0090607B" w:rsidRPr="007828C4" w:rsidRDefault="0090607B" w:rsidP="00D66945">
      <w:pPr>
        <w:ind w:left="709"/>
        <w:rPr>
          <w:rFonts w:eastAsia="Arial Unicode MS" w:cs="Arial"/>
          <w:sz w:val="22"/>
          <w:szCs w:val="22"/>
        </w:rPr>
      </w:pPr>
    </w:p>
    <w:p w:rsidR="00D66945" w:rsidRPr="007828C4" w:rsidRDefault="00D66945" w:rsidP="00D66945">
      <w:pPr>
        <w:rPr>
          <w:rFonts w:eastAsia="Arial Unicode MS" w:cs="Arial"/>
          <w:sz w:val="32"/>
          <w:szCs w:val="22"/>
        </w:rPr>
      </w:pPr>
      <w:r w:rsidRPr="007828C4">
        <w:rPr>
          <w:rFonts w:eastAsia="Arial Unicode MS" w:cs="Arial"/>
          <w:b/>
          <w:sz w:val="32"/>
          <w:szCs w:val="22"/>
        </w:rPr>
        <w:t>1</w:t>
      </w:r>
      <w:r>
        <w:rPr>
          <w:rFonts w:eastAsia="Arial Unicode MS" w:cs="Arial"/>
          <w:b/>
          <w:sz w:val="32"/>
          <w:szCs w:val="22"/>
        </w:rPr>
        <w:t>8</w:t>
      </w:r>
      <w:r w:rsidRPr="007828C4">
        <w:rPr>
          <w:rFonts w:eastAsia="Arial Unicode MS" w:cs="Arial"/>
          <w:b/>
          <w:sz w:val="32"/>
          <w:szCs w:val="22"/>
        </w:rPr>
        <w:t>. ADDITIONAL VOLUNTARY CONTRIBUTIONS (AVC’S)</w:t>
      </w: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Members participating in AVC arrangements each receive an annual statement confirming the amounts held in their account and the movements during the year.  A summary of the information provided by Equitable Life and Prudential is shown below.  (This summary has not been subject to Audit and the Pension Fund relies on the individual contributors to check deductions made on their behalf are accurately reflected in the statements provided by the AVC providers).  The figures relate to the financial year 1 April 201</w:t>
      </w:r>
      <w:r>
        <w:rPr>
          <w:rFonts w:eastAsia="Arial Unicode MS" w:cs="Arial"/>
          <w:sz w:val="22"/>
          <w:szCs w:val="22"/>
        </w:rPr>
        <w:t>7</w:t>
      </w:r>
      <w:r w:rsidRPr="007828C4">
        <w:rPr>
          <w:rFonts w:eastAsia="Arial Unicode MS" w:cs="Arial"/>
          <w:sz w:val="22"/>
          <w:szCs w:val="22"/>
        </w:rPr>
        <w:t xml:space="preserve"> to 31 March 201</w:t>
      </w:r>
      <w:r>
        <w:rPr>
          <w:rFonts w:eastAsia="Arial Unicode MS" w:cs="Arial"/>
          <w:sz w:val="22"/>
          <w:szCs w:val="22"/>
        </w:rPr>
        <w:t>8</w:t>
      </w:r>
      <w:r w:rsidRPr="007828C4">
        <w:rPr>
          <w:rFonts w:eastAsia="Arial Unicode MS" w:cs="Arial"/>
          <w:sz w:val="22"/>
          <w:szCs w:val="22"/>
        </w:rPr>
        <w:t xml:space="preserve"> for Prudential and 1 September 201</w:t>
      </w:r>
      <w:r>
        <w:rPr>
          <w:rFonts w:eastAsia="Arial Unicode MS" w:cs="Arial"/>
          <w:sz w:val="22"/>
          <w:szCs w:val="22"/>
        </w:rPr>
        <w:t>6</w:t>
      </w:r>
      <w:r w:rsidRPr="007828C4">
        <w:rPr>
          <w:rFonts w:eastAsia="Arial Unicode MS" w:cs="Arial"/>
          <w:sz w:val="22"/>
          <w:szCs w:val="22"/>
        </w:rPr>
        <w:t xml:space="preserve"> to 31 August 201</w:t>
      </w:r>
      <w:r>
        <w:rPr>
          <w:rFonts w:eastAsia="Arial Unicode MS" w:cs="Arial"/>
          <w:sz w:val="22"/>
          <w:szCs w:val="22"/>
        </w:rPr>
        <w:t>7</w:t>
      </w:r>
      <w:r w:rsidRPr="007828C4">
        <w:rPr>
          <w:rFonts w:eastAsia="Arial Unicode MS" w:cs="Arial"/>
          <w:sz w:val="22"/>
          <w:szCs w:val="22"/>
        </w:rPr>
        <w:t xml:space="preserve"> for Equitable Life and are not included in the Pension Fund accounts in accordance with </w:t>
      </w:r>
      <w:r w:rsidRPr="007828C4">
        <w:rPr>
          <w:rFonts w:eastAsia="Arial Unicode MS" w:cs="Arial"/>
          <w:i/>
          <w:sz w:val="22"/>
          <w:szCs w:val="22"/>
        </w:rPr>
        <w:t>Regulation 4(1) (b) of the Local Government Pension Scheme (Management and Investment of Funds) Regulations 2016.</w:t>
      </w:r>
    </w:p>
    <w:tbl>
      <w:tblPr>
        <w:tblStyle w:val="TableGrid2"/>
        <w:tblW w:w="0" w:type="auto"/>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4977"/>
        <w:gridCol w:w="1539"/>
        <w:gridCol w:w="1539"/>
        <w:gridCol w:w="1538"/>
      </w:tblGrid>
      <w:tr w:rsidR="00D66945" w:rsidRPr="007828C4" w:rsidTr="00A33453">
        <w:trPr>
          <w:trHeight w:val="431"/>
        </w:trPr>
        <w:tc>
          <w:tcPr>
            <w:tcW w:w="4977" w:type="dxa"/>
            <w:tcBorders>
              <w:bottom w:val="nil"/>
            </w:tcBorders>
            <w:shd w:val="clear" w:color="auto" w:fill="E7E6E6" w:themeFill="background2"/>
          </w:tcPr>
          <w:p w:rsidR="00D66945" w:rsidRPr="007828C4" w:rsidRDefault="00D66945" w:rsidP="00A33453">
            <w:pPr>
              <w:tabs>
                <w:tab w:val="left" w:pos="1080"/>
              </w:tabs>
              <w:rPr>
                <w:rFonts w:eastAsia="Arial Unicode MS" w:cs="Arial"/>
                <w:b/>
                <w:sz w:val="20"/>
                <w:szCs w:val="22"/>
              </w:rPr>
            </w:pPr>
          </w:p>
        </w:tc>
        <w:tc>
          <w:tcPr>
            <w:tcW w:w="1539"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Equitable Life</w:t>
            </w:r>
          </w:p>
        </w:tc>
        <w:tc>
          <w:tcPr>
            <w:tcW w:w="1539"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Prudential</w:t>
            </w:r>
          </w:p>
        </w:tc>
        <w:tc>
          <w:tcPr>
            <w:tcW w:w="1538" w:type="dxa"/>
            <w:shd w:val="clear" w:color="auto" w:fill="E7E6E6" w:themeFill="background2"/>
          </w:tcPr>
          <w:p w:rsidR="00D66945" w:rsidRPr="007828C4" w:rsidRDefault="00D66945" w:rsidP="00A33453">
            <w:pPr>
              <w:tabs>
                <w:tab w:val="left" w:pos="1080"/>
              </w:tabs>
              <w:jc w:val="center"/>
              <w:rPr>
                <w:rFonts w:eastAsia="Arial Unicode MS" w:cs="Arial"/>
                <w:b/>
                <w:sz w:val="20"/>
                <w:szCs w:val="22"/>
              </w:rPr>
            </w:pPr>
            <w:r w:rsidRPr="007828C4">
              <w:rPr>
                <w:rFonts w:eastAsia="Arial Unicode MS" w:cs="Arial"/>
                <w:b/>
                <w:sz w:val="20"/>
                <w:szCs w:val="22"/>
              </w:rPr>
              <w:t>Total</w:t>
            </w:r>
          </w:p>
        </w:tc>
      </w:tr>
      <w:tr w:rsidR="00D66945" w:rsidRPr="007828C4" w:rsidTr="00A33453">
        <w:trPr>
          <w:trHeight w:val="431"/>
        </w:trPr>
        <w:tc>
          <w:tcPr>
            <w:tcW w:w="4977" w:type="dxa"/>
            <w:tcBorders>
              <w:top w:val="nil"/>
            </w:tcBorders>
            <w:shd w:val="clear" w:color="auto" w:fill="E7E6E6" w:themeFill="background2"/>
          </w:tcPr>
          <w:p w:rsidR="00D66945" w:rsidRPr="007828C4" w:rsidRDefault="00D66945" w:rsidP="00A33453">
            <w:pPr>
              <w:tabs>
                <w:tab w:val="left" w:pos="1080"/>
              </w:tabs>
              <w:rPr>
                <w:rFonts w:eastAsia="Arial Unicode MS" w:cs="Arial"/>
                <w:b/>
                <w:sz w:val="20"/>
                <w:szCs w:val="22"/>
              </w:rPr>
            </w:pPr>
          </w:p>
        </w:tc>
        <w:tc>
          <w:tcPr>
            <w:tcW w:w="1539"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539"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c>
          <w:tcPr>
            <w:tcW w:w="1538" w:type="dxa"/>
            <w:shd w:val="clear" w:color="auto" w:fill="E7E6E6" w:themeFill="background2"/>
          </w:tcPr>
          <w:p w:rsidR="00D66945" w:rsidRPr="007828C4" w:rsidRDefault="00D66945" w:rsidP="00A33453">
            <w:pPr>
              <w:tabs>
                <w:tab w:val="left" w:pos="1080"/>
              </w:tabs>
              <w:jc w:val="right"/>
              <w:rPr>
                <w:rFonts w:eastAsia="Arial Unicode MS" w:cs="Arial"/>
                <w:b/>
                <w:sz w:val="20"/>
                <w:szCs w:val="22"/>
              </w:rPr>
            </w:pPr>
            <w:r w:rsidRPr="007828C4">
              <w:rPr>
                <w:rFonts w:eastAsia="Arial Unicode MS" w:cs="Arial"/>
                <w:b/>
                <w:sz w:val="20"/>
                <w:szCs w:val="22"/>
              </w:rPr>
              <w:t>£m</w:t>
            </w:r>
          </w:p>
        </w:tc>
      </w:tr>
      <w:tr w:rsidR="00D66945" w:rsidRPr="007828C4" w:rsidTr="00A33453">
        <w:trPr>
          <w:trHeight w:val="431"/>
        </w:trPr>
        <w:tc>
          <w:tcPr>
            <w:tcW w:w="4977" w:type="dxa"/>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Value at start of the year</w:t>
            </w:r>
          </w:p>
        </w:tc>
        <w:tc>
          <w:tcPr>
            <w:tcW w:w="1539"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b/>
                <w:sz w:val="20"/>
                <w:szCs w:val="22"/>
              </w:rPr>
              <w:t>0.7</w:t>
            </w:r>
          </w:p>
        </w:tc>
        <w:tc>
          <w:tcPr>
            <w:tcW w:w="1539"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b/>
                <w:sz w:val="20"/>
                <w:szCs w:val="22"/>
              </w:rPr>
              <w:t>24.3</w:t>
            </w:r>
          </w:p>
        </w:tc>
        <w:tc>
          <w:tcPr>
            <w:tcW w:w="1538" w:type="dxa"/>
            <w:shd w:val="clear" w:color="auto" w:fill="E7E6E6" w:themeFill="background2"/>
          </w:tcPr>
          <w:p w:rsidR="00D66945" w:rsidRPr="007828C4" w:rsidRDefault="00D66945" w:rsidP="00A33453">
            <w:pPr>
              <w:tabs>
                <w:tab w:val="left" w:pos="1080"/>
              </w:tabs>
              <w:jc w:val="right"/>
              <w:rPr>
                <w:rFonts w:eastAsia="Arial Unicode MS" w:cs="Arial"/>
                <w:sz w:val="20"/>
                <w:szCs w:val="22"/>
              </w:rPr>
            </w:pPr>
            <w:r w:rsidRPr="007828C4">
              <w:rPr>
                <w:rFonts w:eastAsia="Arial Unicode MS" w:cs="Arial"/>
                <w:b/>
                <w:sz w:val="20"/>
                <w:szCs w:val="22"/>
              </w:rPr>
              <w:t>25.0</w:t>
            </w:r>
          </w:p>
        </w:tc>
      </w:tr>
      <w:tr w:rsidR="00D66945" w:rsidRPr="007828C4" w:rsidTr="00A33453">
        <w:trPr>
          <w:trHeight w:val="431"/>
        </w:trPr>
        <w:tc>
          <w:tcPr>
            <w:tcW w:w="4977"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Income (incl. contributions, bonuses, interest &amp; transfers in)</w:t>
            </w:r>
          </w:p>
        </w:tc>
        <w:tc>
          <w:tcPr>
            <w:tcW w:w="1539"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w:t>
            </w:r>
          </w:p>
        </w:tc>
        <w:tc>
          <w:tcPr>
            <w:tcW w:w="1539"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6.6</w:t>
            </w:r>
          </w:p>
        </w:tc>
        <w:tc>
          <w:tcPr>
            <w:tcW w:w="1538"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6.6</w:t>
            </w:r>
          </w:p>
        </w:tc>
      </w:tr>
      <w:tr w:rsidR="00D66945" w:rsidRPr="007828C4" w:rsidTr="00A33453">
        <w:trPr>
          <w:trHeight w:val="431"/>
        </w:trPr>
        <w:tc>
          <w:tcPr>
            <w:tcW w:w="4977" w:type="dxa"/>
          </w:tcPr>
          <w:p w:rsidR="00D66945" w:rsidRPr="007828C4" w:rsidRDefault="00D66945" w:rsidP="00A33453">
            <w:pPr>
              <w:tabs>
                <w:tab w:val="left" w:pos="1080"/>
              </w:tabs>
              <w:rPr>
                <w:rFonts w:eastAsia="Arial Unicode MS" w:cs="Arial"/>
                <w:sz w:val="20"/>
                <w:szCs w:val="22"/>
              </w:rPr>
            </w:pPr>
            <w:r w:rsidRPr="007828C4">
              <w:rPr>
                <w:rFonts w:eastAsia="Arial Unicode MS" w:cs="Arial"/>
                <w:sz w:val="20"/>
                <w:szCs w:val="22"/>
              </w:rPr>
              <w:t>Expenditure (incl. benefits, transfers out &amp; change in market value)</w:t>
            </w:r>
          </w:p>
        </w:tc>
        <w:tc>
          <w:tcPr>
            <w:tcW w:w="1539"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w:t>
            </w:r>
          </w:p>
        </w:tc>
        <w:tc>
          <w:tcPr>
            <w:tcW w:w="1539"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(3.6)</w:t>
            </w:r>
          </w:p>
        </w:tc>
        <w:tc>
          <w:tcPr>
            <w:tcW w:w="1538" w:type="dxa"/>
            <w:shd w:val="clear" w:color="auto" w:fill="auto"/>
          </w:tcPr>
          <w:p w:rsidR="00D66945" w:rsidRPr="007828C4" w:rsidRDefault="00D66945" w:rsidP="00A33453">
            <w:pPr>
              <w:tabs>
                <w:tab w:val="left" w:pos="1080"/>
              </w:tabs>
              <w:jc w:val="right"/>
              <w:rPr>
                <w:rFonts w:eastAsia="Arial Unicode MS" w:cs="Arial"/>
                <w:sz w:val="20"/>
                <w:szCs w:val="22"/>
              </w:rPr>
            </w:pPr>
            <w:r>
              <w:rPr>
                <w:rFonts w:eastAsia="Arial Unicode MS" w:cs="Arial"/>
                <w:sz w:val="20"/>
                <w:szCs w:val="22"/>
              </w:rPr>
              <w:t>(3.6)</w:t>
            </w:r>
          </w:p>
        </w:tc>
      </w:tr>
      <w:tr w:rsidR="00D66945" w:rsidRPr="007828C4" w:rsidTr="00A33453">
        <w:trPr>
          <w:trHeight w:val="431"/>
        </w:trPr>
        <w:tc>
          <w:tcPr>
            <w:tcW w:w="4977" w:type="dxa"/>
            <w:shd w:val="clear" w:color="auto" w:fill="E7E6E6" w:themeFill="background2"/>
          </w:tcPr>
          <w:p w:rsidR="00D66945" w:rsidRPr="007828C4" w:rsidRDefault="00D66945" w:rsidP="00A33453">
            <w:pPr>
              <w:tabs>
                <w:tab w:val="left" w:pos="1080"/>
              </w:tabs>
              <w:rPr>
                <w:rFonts w:eastAsia="Arial Unicode MS" w:cs="Arial"/>
                <w:b/>
                <w:sz w:val="20"/>
                <w:szCs w:val="22"/>
              </w:rPr>
            </w:pPr>
            <w:r w:rsidRPr="007828C4">
              <w:rPr>
                <w:rFonts w:eastAsia="Arial Unicode MS" w:cs="Arial"/>
                <w:b/>
                <w:sz w:val="20"/>
                <w:szCs w:val="22"/>
              </w:rPr>
              <w:t>Value at the end of the year</w:t>
            </w:r>
          </w:p>
        </w:tc>
        <w:tc>
          <w:tcPr>
            <w:tcW w:w="1539" w:type="dxa"/>
            <w:shd w:val="clear" w:color="auto" w:fill="auto"/>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0.7</w:t>
            </w:r>
          </w:p>
        </w:tc>
        <w:tc>
          <w:tcPr>
            <w:tcW w:w="1539" w:type="dxa"/>
            <w:shd w:val="clear" w:color="auto" w:fill="auto"/>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27.3</w:t>
            </w:r>
          </w:p>
        </w:tc>
        <w:tc>
          <w:tcPr>
            <w:tcW w:w="1538" w:type="dxa"/>
            <w:shd w:val="clear" w:color="auto" w:fill="auto"/>
          </w:tcPr>
          <w:p w:rsidR="00D66945" w:rsidRPr="007828C4" w:rsidRDefault="00D66945" w:rsidP="00A33453">
            <w:pPr>
              <w:tabs>
                <w:tab w:val="left" w:pos="1080"/>
              </w:tabs>
              <w:jc w:val="right"/>
              <w:rPr>
                <w:rFonts w:eastAsia="Arial Unicode MS" w:cs="Arial"/>
                <w:b/>
                <w:sz w:val="20"/>
                <w:szCs w:val="22"/>
              </w:rPr>
            </w:pPr>
            <w:r>
              <w:rPr>
                <w:rFonts w:eastAsia="Arial Unicode MS" w:cs="Arial"/>
                <w:b/>
                <w:sz w:val="20"/>
                <w:szCs w:val="22"/>
              </w:rPr>
              <w:t>28.0</w:t>
            </w:r>
          </w:p>
        </w:tc>
      </w:tr>
    </w:tbl>
    <w:p w:rsidR="00D66945" w:rsidRDefault="00D66945" w:rsidP="00D66945">
      <w:pPr>
        <w:tabs>
          <w:tab w:val="left" w:pos="1080"/>
        </w:tabs>
        <w:ind w:left="709"/>
        <w:rPr>
          <w:rFonts w:eastAsia="Arial Unicode MS" w:cs="Arial"/>
          <w:sz w:val="22"/>
          <w:szCs w:val="22"/>
        </w:rPr>
      </w:pPr>
    </w:p>
    <w:p w:rsidR="00D66945" w:rsidRPr="007828C4" w:rsidRDefault="00D66945" w:rsidP="00D66945">
      <w:pPr>
        <w:rPr>
          <w:rFonts w:eastAsia="Arial Unicode MS" w:cs="Arial"/>
          <w:b/>
          <w:sz w:val="32"/>
          <w:szCs w:val="22"/>
        </w:rPr>
      </w:pPr>
      <w:r>
        <w:rPr>
          <w:rFonts w:eastAsia="Arial Unicode MS" w:cs="Arial"/>
          <w:b/>
          <w:sz w:val="32"/>
          <w:szCs w:val="22"/>
        </w:rPr>
        <w:t>19</w:t>
      </w:r>
      <w:r w:rsidRPr="007828C4">
        <w:rPr>
          <w:rFonts w:eastAsia="Arial Unicode MS" w:cs="Arial"/>
          <w:b/>
          <w:sz w:val="32"/>
          <w:szCs w:val="22"/>
        </w:rPr>
        <w:t>. CURRENT ASSETS</w:t>
      </w: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2"/>
              </w:rPr>
              <w:t>14.1</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Contributions due – employers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7.7</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2"/>
              </w:rPr>
              <w:t>4.6</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Contributions due – members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6.3</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2"/>
              </w:rPr>
              <w:t>12.0</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2"/>
              </w:rPr>
              <w:t xml:space="preserve">Debtors </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9.4</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b/>
                <w:sz w:val="20"/>
                <w:szCs w:val="22"/>
              </w:rPr>
              <w:t>30.7</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23.4</w:t>
            </w:r>
          </w:p>
        </w:tc>
      </w:tr>
    </w:tbl>
    <w:p w:rsidR="0090607B" w:rsidRDefault="0090607B" w:rsidP="00D66945">
      <w:pPr>
        <w:ind w:left="720"/>
        <w:rPr>
          <w:rFonts w:eastAsia="Arial Unicode MS" w:cs="Arial"/>
          <w:b/>
          <w:sz w:val="28"/>
          <w:szCs w:val="22"/>
        </w:rPr>
      </w:pPr>
    </w:p>
    <w:p w:rsidR="0090607B" w:rsidRPr="007828C4" w:rsidRDefault="0090607B" w:rsidP="00D66945">
      <w:pPr>
        <w:ind w:left="720"/>
        <w:rPr>
          <w:rFonts w:eastAsia="Arial Unicode MS" w:cs="Arial"/>
          <w:b/>
          <w:sz w:val="28"/>
          <w:szCs w:val="22"/>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20"/>
              </w:rPr>
              <w:t>Analysis of debtors</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20"/>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0"/>
              </w:rPr>
              <w:t>14.6</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Other local authorities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8.5</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0"/>
              </w:rPr>
              <w:t>16.1</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Other entities and individuals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14.9</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b/>
                <w:sz w:val="20"/>
                <w:szCs w:val="20"/>
              </w:rPr>
              <w:t>30.7</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23.4</w:t>
            </w:r>
          </w:p>
        </w:tc>
      </w:tr>
    </w:tbl>
    <w:p w:rsidR="00D66945" w:rsidRDefault="00D66945" w:rsidP="00D66945">
      <w:pPr>
        <w:rPr>
          <w:rFonts w:eastAsia="Arial Unicode MS" w:cs="Arial"/>
          <w:b/>
          <w:sz w:val="32"/>
          <w:szCs w:val="22"/>
        </w:rPr>
      </w:pPr>
      <w:r w:rsidRPr="007828C4">
        <w:rPr>
          <w:rFonts w:eastAsia="Arial Unicode MS" w:cs="Arial"/>
          <w:b/>
          <w:sz w:val="32"/>
          <w:szCs w:val="22"/>
        </w:rPr>
        <w:t>2</w:t>
      </w:r>
      <w:r>
        <w:rPr>
          <w:rFonts w:eastAsia="Arial Unicode MS" w:cs="Arial"/>
          <w:b/>
          <w:sz w:val="32"/>
          <w:szCs w:val="22"/>
        </w:rPr>
        <w:t>0</w:t>
      </w:r>
      <w:r w:rsidRPr="007828C4">
        <w:rPr>
          <w:rFonts w:eastAsia="Arial Unicode MS" w:cs="Arial"/>
          <w:b/>
          <w:sz w:val="32"/>
          <w:szCs w:val="22"/>
        </w:rPr>
        <w:t>. CURRENT</w:t>
      </w:r>
      <w:r>
        <w:rPr>
          <w:rFonts w:eastAsia="Arial Unicode MS" w:cs="Arial"/>
          <w:b/>
          <w:sz w:val="32"/>
          <w:szCs w:val="22"/>
        </w:rPr>
        <w:t xml:space="preserve"> AND LONG TERM</w:t>
      </w:r>
      <w:r w:rsidRPr="007828C4">
        <w:rPr>
          <w:rFonts w:eastAsia="Arial Unicode MS" w:cs="Arial"/>
          <w:b/>
          <w:sz w:val="32"/>
          <w:szCs w:val="22"/>
        </w:rPr>
        <w:t xml:space="preserve"> LIABILITIES</w:t>
      </w:r>
    </w:p>
    <w:p w:rsidR="00D66945" w:rsidRDefault="00D66945" w:rsidP="00D66945">
      <w:pPr>
        <w:rPr>
          <w:rFonts w:eastAsia="Arial Unicode MS" w:cs="Arial"/>
          <w:b/>
          <w:sz w:val="32"/>
          <w:szCs w:val="22"/>
        </w:rPr>
      </w:pPr>
    </w:p>
    <w:p w:rsidR="00D66945" w:rsidRPr="007828C4" w:rsidRDefault="00D66945" w:rsidP="00D66945">
      <w:pPr>
        <w:rPr>
          <w:rFonts w:eastAsia="Arial Unicode MS" w:cs="Arial"/>
          <w:b/>
          <w:sz w:val="32"/>
          <w:szCs w:val="22"/>
        </w:rPr>
      </w:pPr>
      <w:r>
        <w:rPr>
          <w:rFonts w:eastAsia="Arial Unicode MS" w:cs="Arial"/>
          <w:b/>
          <w:sz w:val="32"/>
          <w:szCs w:val="22"/>
        </w:rPr>
        <w:t>Current liabilities</w:t>
      </w: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0E0BBC" w:rsidTr="00A33453">
        <w:trPr>
          <w:trHeight w:val="431"/>
        </w:trPr>
        <w:tc>
          <w:tcPr>
            <w:tcW w:w="1717" w:type="dxa"/>
            <w:shd w:val="clear" w:color="auto" w:fill="auto"/>
          </w:tcPr>
          <w:p w:rsidR="00D66945" w:rsidRPr="000E0BBC" w:rsidRDefault="00D66945" w:rsidP="00A33453">
            <w:pPr>
              <w:tabs>
                <w:tab w:val="left" w:pos="2160"/>
                <w:tab w:val="left" w:pos="6885"/>
              </w:tabs>
              <w:spacing w:after="60"/>
              <w:jc w:val="right"/>
              <w:rPr>
                <w:rFonts w:eastAsia="Arial Unicode MS" w:cs="Arial"/>
                <w:sz w:val="20"/>
                <w:szCs w:val="18"/>
              </w:rPr>
            </w:pPr>
            <w:r w:rsidRPr="000E0BBC">
              <w:rPr>
                <w:rFonts w:eastAsia="Arial Unicode MS" w:cs="Arial"/>
                <w:sz w:val="20"/>
                <w:szCs w:val="20"/>
              </w:rPr>
              <w:t>5.7</w:t>
            </w:r>
          </w:p>
        </w:tc>
        <w:tc>
          <w:tcPr>
            <w:tcW w:w="6221" w:type="dxa"/>
            <w:shd w:val="clear" w:color="auto" w:fill="auto"/>
          </w:tcPr>
          <w:p w:rsidR="00D66945" w:rsidRPr="000E0BBC" w:rsidRDefault="00D66945" w:rsidP="00A33453">
            <w:pPr>
              <w:tabs>
                <w:tab w:val="left" w:pos="1455"/>
                <w:tab w:val="left" w:pos="5040"/>
                <w:tab w:val="left" w:pos="6885"/>
              </w:tabs>
              <w:rPr>
                <w:rFonts w:eastAsia="Arial Unicode MS" w:cs="Arial"/>
                <w:sz w:val="20"/>
                <w:szCs w:val="18"/>
              </w:rPr>
            </w:pPr>
            <w:r w:rsidRPr="000E0BBC">
              <w:rPr>
                <w:rFonts w:eastAsia="Arial Unicode MS" w:cs="Arial"/>
                <w:sz w:val="20"/>
                <w:szCs w:val="20"/>
              </w:rPr>
              <w:t>Unpaid benefits</w:t>
            </w:r>
          </w:p>
        </w:tc>
        <w:tc>
          <w:tcPr>
            <w:tcW w:w="1701" w:type="dxa"/>
            <w:shd w:val="clear" w:color="auto" w:fill="auto"/>
          </w:tcPr>
          <w:p w:rsidR="00D66945" w:rsidRPr="000E0BBC" w:rsidRDefault="00D66945" w:rsidP="00A33453">
            <w:pPr>
              <w:tabs>
                <w:tab w:val="left" w:pos="2160"/>
                <w:tab w:val="left" w:pos="6885"/>
              </w:tabs>
              <w:spacing w:after="60"/>
              <w:jc w:val="right"/>
              <w:rPr>
                <w:rFonts w:eastAsia="Arial Unicode MS" w:cs="Arial"/>
                <w:sz w:val="20"/>
                <w:szCs w:val="18"/>
              </w:rPr>
            </w:pPr>
            <w:r w:rsidRPr="000E0BBC">
              <w:rPr>
                <w:rFonts w:eastAsia="Arial Unicode MS" w:cs="Arial"/>
                <w:sz w:val="20"/>
                <w:szCs w:val="18"/>
              </w:rPr>
              <w:t>1.6</w:t>
            </w:r>
          </w:p>
        </w:tc>
      </w:tr>
      <w:tr w:rsidR="00D66945" w:rsidRPr="000E0BBC" w:rsidTr="00A33453">
        <w:trPr>
          <w:trHeight w:val="431"/>
        </w:trPr>
        <w:tc>
          <w:tcPr>
            <w:tcW w:w="1717" w:type="dxa"/>
            <w:shd w:val="clear" w:color="auto" w:fill="auto"/>
          </w:tcPr>
          <w:p w:rsidR="00D66945" w:rsidRPr="000E0BBC" w:rsidRDefault="00D66945" w:rsidP="00A33453">
            <w:pPr>
              <w:tabs>
                <w:tab w:val="left" w:pos="2160"/>
                <w:tab w:val="left" w:pos="6885"/>
              </w:tabs>
              <w:spacing w:after="60"/>
              <w:jc w:val="right"/>
              <w:rPr>
                <w:rFonts w:eastAsia="Arial Unicode MS" w:cs="Arial"/>
                <w:sz w:val="20"/>
                <w:szCs w:val="20"/>
              </w:rPr>
            </w:pPr>
            <w:r w:rsidRPr="000E0BBC">
              <w:rPr>
                <w:rFonts w:eastAsia="Arial Unicode MS" w:cs="Arial"/>
                <w:sz w:val="20"/>
                <w:szCs w:val="20"/>
              </w:rPr>
              <w:t>7.1</w:t>
            </w:r>
          </w:p>
        </w:tc>
        <w:tc>
          <w:tcPr>
            <w:tcW w:w="6221" w:type="dxa"/>
            <w:shd w:val="clear" w:color="auto" w:fill="auto"/>
          </w:tcPr>
          <w:p w:rsidR="00D66945" w:rsidRPr="000E0BBC" w:rsidRDefault="00D66945" w:rsidP="00A33453">
            <w:pPr>
              <w:tabs>
                <w:tab w:val="left" w:pos="1455"/>
                <w:tab w:val="left" w:pos="5040"/>
                <w:tab w:val="left" w:pos="6885"/>
              </w:tabs>
              <w:rPr>
                <w:rFonts w:eastAsia="Arial Unicode MS" w:cs="Arial"/>
                <w:sz w:val="20"/>
                <w:szCs w:val="20"/>
              </w:rPr>
            </w:pPr>
            <w:r w:rsidRPr="000E0BBC">
              <w:rPr>
                <w:rFonts w:eastAsia="Arial Unicode MS" w:cs="Arial"/>
                <w:sz w:val="20"/>
                <w:szCs w:val="20"/>
              </w:rPr>
              <w:t>Accrued expenses</w:t>
            </w:r>
          </w:p>
        </w:tc>
        <w:tc>
          <w:tcPr>
            <w:tcW w:w="1701" w:type="dxa"/>
            <w:shd w:val="clear" w:color="auto" w:fill="auto"/>
          </w:tcPr>
          <w:p w:rsidR="00D66945" w:rsidRPr="000E0BBC" w:rsidRDefault="00D66945" w:rsidP="00A33453">
            <w:pPr>
              <w:tabs>
                <w:tab w:val="left" w:pos="2160"/>
                <w:tab w:val="left" w:pos="6885"/>
              </w:tabs>
              <w:spacing w:after="60"/>
              <w:jc w:val="right"/>
              <w:rPr>
                <w:rFonts w:eastAsia="Arial Unicode MS" w:cs="Arial"/>
                <w:sz w:val="20"/>
                <w:szCs w:val="18"/>
              </w:rPr>
            </w:pPr>
            <w:r w:rsidRPr="000E0BBC">
              <w:rPr>
                <w:rFonts w:eastAsia="Arial Unicode MS" w:cs="Arial"/>
                <w:sz w:val="20"/>
                <w:szCs w:val="18"/>
              </w:rPr>
              <w:t>10.8</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0"/>
              </w:rPr>
              <w:t>-</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Pr>
                <w:rFonts w:eastAsia="Arial Unicode MS" w:cs="Arial"/>
                <w:sz w:val="20"/>
                <w:szCs w:val="18"/>
              </w:rPr>
              <w:t>Contributions received in advance*</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68.5</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20"/>
              </w:rPr>
              <w:t>12.8</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80.9</w:t>
            </w:r>
          </w:p>
        </w:tc>
      </w:tr>
    </w:tbl>
    <w:p w:rsidR="00D66945" w:rsidRPr="007828C4" w:rsidRDefault="00D66945" w:rsidP="00D66945">
      <w:pPr>
        <w:rPr>
          <w:rFonts w:eastAsia="Arial Unicode MS" w:cs="Arial"/>
          <w:b/>
          <w:sz w:val="20"/>
          <w:szCs w:val="20"/>
        </w:rPr>
      </w:pP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w:t>
            </w:r>
            <w:r>
              <w:rPr>
                <w:rFonts w:eastAsia="Arial Unicode MS" w:cs="Arial"/>
                <w:b/>
                <w:sz w:val="20"/>
                <w:szCs w:val="18"/>
              </w:rPr>
              <w:t>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20"/>
              </w:rPr>
              <w:t>Analysis of creditors</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20"/>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0"/>
              </w:rPr>
              <w:t>5.0</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Other local authorities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70.4</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0"/>
              </w:rPr>
              <w:t>7.8</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Other entities and individuals</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10.5</w:t>
            </w:r>
          </w:p>
        </w:tc>
      </w:tr>
      <w:tr w:rsidR="00D66945" w:rsidRPr="007828C4" w:rsidTr="00A33453">
        <w:trPr>
          <w:trHeight w:val="431"/>
        </w:trPr>
        <w:tc>
          <w:tcPr>
            <w:tcW w:w="1717"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20"/>
              </w:rPr>
              <w:t>12.8</w:t>
            </w:r>
          </w:p>
        </w:tc>
        <w:tc>
          <w:tcPr>
            <w:tcW w:w="6221" w:type="dxa"/>
            <w:shd w:val="clear" w:color="auto" w:fill="E7E6E6" w:themeFill="background2"/>
          </w:tcPr>
          <w:p w:rsidR="00D66945" w:rsidRPr="007828C4" w:rsidRDefault="00D66945" w:rsidP="00A33453">
            <w:pPr>
              <w:tabs>
                <w:tab w:val="left" w:pos="1455"/>
                <w:tab w:val="left" w:pos="5040"/>
                <w:tab w:val="left" w:pos="6885"/>
              </w:tabs>
              <w:rPr>
                <w:rFonts w:eastAsia="Arial Unicode MS" w:cs="Arial"/>
                <w:b/>
                <w:sz w:val="20"/>
                <w:szCs w:val="18"/>
              </w:rPr>
            </w:pPr>
          </w:p>
        </w:tc>
        <w:tc>
          <w:tcPr>
            <w:tcW w:w="1701" w:type="dxa"/>
            <w:shd w:val="clear" w:color="auto" w:fill="E7E6E6" w:themeFill="background2"/>
          </w:tcPr>
          <w:p w:rsidR="00D66945" w:rsidRPr="007828C4" w:rsidRDefault="00D66945" w:rsidP="00A33453">
            <w:pPr>
              <w:tabs>
                <w:tab w:val="left" w:pos="2160"/>
                <w:tab w:val="left" w:pos="6885"/>
              </w:tabs>
              <w:spacing w:after="60"/>
              <w:jc w:val="right"/>
              <w:rPr>
                <w:rFonts w:eastAsia="Arial Unicode MS" w:cs="Arial"/>
                <w:b/>
                <w:sz w:val="20"/>
                <w:szCs w:val="18"/>
              </w:rPr>
            </w:pPr>
            <w:r>
              <w:rPr>
                <w:rFonts w:eastAsia="Arial Unicode MS" w:cs="Arial"/>
                <w:b/>
                <w:sz w:val="20"/>
                <w:szCs w:val="18"/>
              </w:rPr>
              <w:t>80.9</w:t>
            </w:r>
          </w:p>
        </w:tc>
      </w:tr>
    </w:tbl>
    <w:p w:rsidR="00D66945" w:rsidRDefault="00D66945" w:rsidP="00D66945">
      <w:pPr>
        <w:ind w:left="862"/>
        <w:rPr>
          <w:rFonts w:eastAsia="Arial Unicode MS" w:cs="Arial"/>
          <w:b/>
          <w:sz w:val="32"/>
          <w:szCs w:val="22"/>
        </w:rPr>
      </w:pPr>
    </w:p>
    <w:p w:rsidR="00D66945" w:rsidRPr="007828C4" w:rsidRDefault="00D66945" w:rsidP="00D66945">
      <w:pPr>
        <w:rPr>
          <w:rFonts w:eastAsia="Arial Unicode MS" w:cs="Arial"/>
          <w:b/>
          <w:sz w:val="32"/>
          <w:szCs w:val="22"/>
        </w:rPr>
      </w:pPr>
      <w:r>
        <w:rPr>
          <w:rFonts w:eastAsia="Arial Unicode MS" w:cs="Arial"/>
          <w:b/>
          <w:sz w:val="32"/>
          <w:szCs w:val="22"/>
        </w:rPr>
        <w:t>Long term liabilities</w:t>
      </w:r>
    </w:p>
    <w:tbl>
      <w:tblPr>
        <w:tblW w:w="9639"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17"/>
        <w:gridCol w:w="6221"/>
        <w:gridCol w:w="1701"/>
      </w:tblGrid>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w:t>
            </w:r>
            <w:r>
              <w:rPr>
                <w:rFonts w:eastAsia="Arial Unicode MS" w:cs="Arial"/>
                <w:b/>
                <w:sz w:val="20"/>
                <w:szCs w:val="18"/>
              </w:rPr>
              <w:t>17</w:t>
            </w:r>
          </w:p>
        </w:tc>
        <w:tc>
          <w:tcPr>
            <w:tcW w:w="6221" w:type="dxa"/>
            <w:tcBorders>
              <w:bottom w:val="nil"/>
            </w:tcBorders>
            <w:shd w:val="clear" w:color="auto" w:fill="E7E6E6" w:themeFill="background2"/>
          </w:tcPr>
          <w:p w:rsidR="00D66945" w:rsidRPr="007828C4" w:rsidRDefault="00D66945" w:rsidP="00A33453">
            <w:pPr>
              <w:rPr>
                <w:rFonts w:eastAsia="Arial Unicode MS" w:cs="Arial"/>
                <w:b/>
                <w:sz w:val="20"/>
                <w:szCs w:val="18"/>
              </w:rPr>
            </w:pPr>
            <w:r w:rsidRPr="007828C4">
              <w:rPr>
                <w:rFonts w:eastAsia="Arial Unicode MS" w:cs="Arial"/>
                <w:b/>
                <w:sz w:val="20"/>
                <w:szCs w:val="20"/>
              </w:rPr>
              <w:t>Analysis of creditors</w:t>
            </w: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center"/>
              <w:rPr>
                <w:rFonts w:eastAsia="Arial Unicode MS" w:cs="Arial"/>
                <w:b/>
                <w:sz w:val="20"/>
                <w:szCs w:val="18"/>
              </w:rPr>
            </w:pPr>
            <w:r w:rsidRPr="007828C4">
              <w:rPr>
                <w:rFonts w:eastAsia="Arial Unicode MS" w:cs="Arial"/>
                <w:b/>
                <w:sz w:val="20"/>
                <w:szCs w:val="18"/>
              </w:rPr>
              <w:t>31 March 201</w:t>
            </w:r>
            <w:r>
              <w:rPr>
                <w:rFonts w:eastAsia="Arial Unicode MS" w:cs="Arial"/>
                <w:b/>
                <w:sz w:val="20"/>
                <w:szCs w:val="18"/>
              </w:rPr>
              <w:t>8</w:t>
            </w:r>
          </w:p>
        </w:tc>
      </w:tr>
      <w:tr w:rsidR="00D66945" w:rsidRPr="007828C4" w:rsidTr="00A33453">
        <w:trPr>
          <w:trHeight w:val="266"/>
        </w:trPr>
        <w:tc>
          <w:tcPr>
            <w:tcW w:w="1717" w:type="dxa"/>
            <w:shd w:val="clear" w:color="auto" w:fill="E7E6E6" w:themeFill="background2"/>
          </w:tcPr>
          <w:p w:rsidR="00D66945" w:rsidRPr="007828C4" w:rsidRDefault="00D66945" w:rsidP="00A33453">
            <w:pPr>
              <w:tabs>
                <w:tab w:val="left" w:pos="717"/>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c>
          <w:tcPr>
            <w:tcW w:w="6221" w:type="dxa"/>
            <w:tcBorders>
              <w:top w:val="nil"/>
            </w:tcBorders>
            <w:shd w:val="clear" w:color="auto" w:fill="E7E6E6" w:themeFill="background2"/>
          </w:tcPr>
          <w:p w:rsidR="00D66945" w:rsidRPr="007828C4" w:rsidRDefault="00D66945" w:rsidP="00A33453">
            <w:pPr>
              <w:jc w:val="right"/>
              <w:rPr>
                <w:rFonts w:eastAsia="Arial Unicode MS" w:cs="Arial"/>
                <w:b/>
                <w:sz w:val="20"/>
                <w:szCs w:val="20"/>
              </w:rPr>
            </w:pPr>
          </w:p>
        </w:tc>
        <w:tc>
          <w:tcPr>
            <w:tcW w:w="1701" w:type="dxa"/>
            <w:shd w:val="clear" w:color="auto" w:fill="E7E6E6" w:themeFill="background2"/>
          </w:tcPr>
          <w:p w:rsidR="00D66945" w:rsidRPr="007828C4" w:rsidRDefault="00D66945" w:rsidP="00A33453">
            <w:pPr>
              <w:tabs>
                <w:tab w:val="left" w:pos="719"/>
                <w:tab w:val="left" w:pos="2160"/>
                <w:tab w:val="left" w:pos="6885"/>
              </w:tabs>
              <w:spacing w:after="60"/>
              <w:jc w:val="right"/>
              <w:rPr>
                <w:rFonts w:eastAsia="Arial Unicode MS" w:cs="Arial"/>
                <w:b/>
                <w:sz w:val="20"/>
                <w:szCs w:val="18"/>
              </w:rPr>
            </w:pPr>
            <w:r w:rsidRPr="007828C4">
              <w:rPr>
                <w:rFonts w:eastAsia="Arial Unicode MS" w:cs="Arial"/>
                <w:b/>
                <w:sz w:val="20"/>
                <w:szCs w:val="18"/>
              </w:rPr>
              <w:t>£m</w:t>
            </w:r>
          </w:p>
        </w:tc>
      </w:tr>
      <w:tr w:rsidR="00D66945" w:rsidRPr="007828C4" w:rsidTr="00A33453">
        <w:trPr>
          <w:trHeight w:val="431"/>
        </w:trPr>
        <w:tc>
          <w:tcPr>
            <w:tcW w:w="1717"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20"/>
              </w:rPr>
              <w:t>-</w:t>
            </w:r>
          </w:p>
        </w:tc>
        <w:tc>
          <w:tcPr>
            <w:tcW w:w="6221" w:type="dxa"/>
            <w:shd w:val="clear" w:color="auto" w:fill="auto"/>
          </w:tcPr>
          <w:p w:rsidR="00D66945" w:rsidRPr="007828C4" w:rsidRDefault="00D66945" w:rsidP="00A33453">
            <w:pPr>
              <w:tabs>
                <w:tab w:val="left" w:pos="1455"/>
                <w:tab w:val="left" w:pos="5040"/>
                <w:tab w:val="left" w:pos="6885"/>
              </w:tabs>
              <w:rPr>
                <w:rFonts w:eastAsia="Arial Unicode MS" w:cs="Arial"/>
                <w:sz w:val="20"/>
                <w:szCs w:val="18"/>
              </w:rPr>
            </w:pPr>
            <w:r w:rsidRPr="007828C4">
              <w:rPr>
                <w:rFonts w:eastAsia="Arial Unicode MS" w:cs="Arial"/>
                <w:sz w:val="20"/>
                <w:szCs w:val="20"/>
              </w:rPr>
              <w:t>Other local authorities</w:t>
            </w:r>
            <w:r>
              <w:rPr>
                <w:rFonts w:eastAsia="Arial Unicode MS" w:cs="Arial"/>
                <w:sz w:val="20"/>
                <w:szCs w:val="20"/>
              </w:rPr>
              <w:t>*</w:t>
            </w:r>
          </w:p>
        </w:tc>
        <w:tc>
          <w:tcPr>
            <w:tcW w:w="1701" w:type="dxa"/>
            <w:shd w:val="clear" w:color="auto" w:fill="auto"/>
          </w:tcPr>
          <w:p w:rsidR="00D66945" w:rsidRPr="007828C4" w:rsidRDefault="00D66945" w:rsidP="00A33453">
            <w:pPr>
              <w:tabs>
                <w:tab w:val="left" w:pos="2160"/>
                <w:tab w:val="left" w:pos="6885"/>
              </w:tabs>
              <w:spacing w:after="60"/>
              <w:jc w:val="right"/>
              <w:rPr>
                <w:rFonts w:eastAsia="Arial Unicode MS" w:cs="Arial"/>
                <w:sz w:val="20"/>
                <w:szCs w:val="18"/>
              </w:rPr>
            </w:pPr>
            <w:r>
              <w:rPr>
                <w:rFonts w:eastAsia="Arial Unicode MS" w:cs="Arial"/>
                <w:sz w:val="20"/>
                <w:szCs w:val="18"/>
              </w:rPr>
              <w:t>68.5</w:t>
            </w:r>
          </w:p>
        </w:tc>
      </w:tr>
    </w:tbl>
    <w:p w:rsidR="00D66945" w:rsidRPr="00FB63AB" w:rsidRDefault="00D66945" w:rsidP="00D66945">
      <w:pPr>
        <w:rPr>
          <w:rFonts w:cs="Arial"/>
          <w:sz w:val="20"/>
          <w:szCs w:val="20"/>
        </w:rPr>
      </w:pPr>
      <w:r>
        <w:rPr>
          <w:rFonts w:cs="Arial"/>
          <w:sz w:val="22"/>
          <w:szCs w:val="22"/>
        </w:rPr>
        <w:t>*</w:t>
      </w:r>
      <w:r w:rsidRPr="00FB63AB">
        <w:rPr>
          <w:rFonts w:cs="Arial"/>
          <w:sz w:val="20"/>
          <w:szCs w:val="20"/>
        </w:rPr>
        <w:t>Following the actuarial valuation in 2016, the Fund gave some employers the option of paying their 3 year future service rate and deficit payments upfront,  A number of employers opted to do this and as a result receipts in advance of £137.0m are included in the net assets statement of the Fund as at 31 March 2018.   Of this balance, £68.5m will be recognised in the year to 31 March 2019 and £68.5m in the year to 31 March 2020.</w:t>
      </w:r>
    </w:p>
    <w:p w:rsidR="00D66945" w:rsidRDefault="00D66945" w:rsidP="00D66945">
      <w:pPr>
        <w:rPr>
          <w:rFonts w:eastAsia="Arial Unicode MS" w:cs="Arial"/>
          <w:sz w:val="28"/>
          <w:szCs w:val="22"/>
        </w:rPr>
      </w:pPr>
    </w:p>
    <w:p w:rsidR="00D66945" w:rsidRDefault="00D66945" w:rsidP="00D66945">
      <w:pPr>
        <w:rPr>
          <w:rFonts w:eastAsia="Arial Unicode MS" w:cs="Arial"/>
          <w:sz w:val="28"/>
          <w:szCs w:val="22"/>
        </w:rPr>
      </w:pPr>
    </w:p>
    <w:p w:rsidR="00D66945" w:rsidRPr="007828C4" w:rsidRDefault="00D66945" w:rsidP="00D66945">
      <w:pPr>
        <w:rPr>
          <w:rFonts w:eastAsia="Arial Unicode MS" w:cs="Arial"/>
          <w:sz w:val="32"/>
          <w:szCs w:val="22"/>
        </w:rPr>
      </w:pPr>
      <w:r w:rsidRPr="007828C4">
        <w:rPr>
          <w:rFonts w:eastAsia="Arial Unicode MS" w:cs="Arial"/>
          <w:b/>
          <w:sz w:val="32"/>
          <w:szCs w:val="22"/>
        </w:rPr>
        <w:t>2</w:t>
      </w:r>
      <w:r>
        <w:rPr>
          <w:rFonts w:eastAsia="Arial Unicode MS" w:cs="Arial"/>
          <w:b/>
          <w:sz w:val="32"/>
          <w:szCs w:val="22"/>
        </w:rPr>
        <w:t>1</w:t>
      </w:r>
      <w:r w:rsidRPr="007828C4">
        <w:rPr>
          <w:rFonts w:eastAsia="Arial Unicode MS" w:cs="Arial"/>
          <w:b/>
          <w:sz w:val="32"/>
          <w:szCs w:val="22"/>
        </w:rPr>
        <w:t>. CONTRACTUAL COMMITMENTS</w:t>
      </w:r>
    </w:p>
    <w:p w:rsidR="00D66945" w:rsidRPr="007828C4" w:rsidRDefault="00D66945" w:rsidP="00D66945">
      <w:pPr>
        <w:ind w:left="862"/>
        <w:rPr>
          <w:rFonts w:eastAsia="Arial Unicode MS" w:cs="Arial"/>
          <w:sz w:val="22"/>
          <w:szCs w:val="22"/>
        </w:rPr>
      </w:pP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As at 31 March 201</w:t>
      </w:r>
      <w:r>
        <w:rPr>
          <w:rFonts w:eastAsia="Arial Unicode MS" w:cs="Arial"/>
          <w:sz w:val="22"/>
          <w:szCs w:val="22"/>
        </w:rPr>
        <w:t>8</w:t>
      </w:r>
      <w:r w:rsidRPr="007828C4">
        <w:rPr>
          <w:rFonts w:eastAsia="Arial Unicode MS" w:cs="Arial"/>
          <w:sz w:val="22"/>
          <w:szCs w:val="22"/>
        </w:rPr>
        <w:t xml:space="preserve"> the commitments relating to outstanding call payments due to unquoted limited partnership funds held in the </w:t>
      </w:r>
      <w:r>
        <w:rPr>
          <w:rFonts w:eastAsia="Arial Unicode MS" w:cs="Arial"/>
          <w:sz w:val="22"/>
          <w:szCs w:val="22"/>
        </w:rPr>
        <w:t>private equity</w:t>
      </w:r>
      <w:r w:rsidRPr="007828C4">
        <w:rPr>
          <w:rFonts w:eastAsia="Arial Unicode MS" w:cs="Arial"/>
          <w:sz w:val="22"/>
          <w:szCs w:val="22"/>
        </w:rPr>
        <w:t xml:space="preserve"> and infrastructure part of the portfolio totalled </w:t>
      </w:r>
      <w:r>
        <w:rPr>
          <w:rFonts w:eastAsia="Arial Unicode MS" w:cs="Arial"/>
          <w:sz w:val="22"/>
          <w:szCs w:val="22"/>
        </w:rPr>
        <w:t>£546.6m</w:t>
      </w:r>
      <w:r w:rsidRPr="007828C4">
        <w:rPr>
          <w:rFonts w:eastAsia="Arial Unicode MS" w:cs="Arial"/>
          <w:sz w:val="22"/>
          <w:szCs w:val="22"/>
        </w:rPr>
        <w:t xml:space="preserve"> (201</w:t>
      </w:r>
      <w:r>
        <w:rPr>
          <w:rFonts w:eastAsia="Arial Unicode MS" w:cs="Arial"/>
          <w:sz w:val="22"/>
          <w:szCs w:val="22"/>
        </w:rPr>
        <w:t>7</w:t>
      </w:r>
      <w:r w:rsidRPr="007828C4">
        <w:rPr>
          <w:rFonts w:eastAsia="Arial Unicode MS" w:cs="Arial"/>
          <w:sz w:val="22"/>
          <w:szCs w:val="22"/>
        </w:rPr>
        <w:t>: £</w:t>
      </w:r>
      <w:r>
        <w:rPr>
          <w:rFonts w:eastAsia="Arial Unicode MS" w:cs="Arial"/>
          <w:sz w:val="22"/>
          <w:szCs w:val="22"/>
        </w:rPr>
        <w:t>663.4</w:t>
      </w:r>
      <w:r w:rsidRPr="007828C4">
        <w:rPr>
          <w:rFonts w:eastAsia="Arial Unicode MS" w:cs="Arial"/>
          <w:sz w:val="22"/>
          <w:szCs w:val="22"/>
        </w:rPr>
        <w:t xml:space="preserve">m). The amounts 'called' by these funds are irregular in both size and timing and commitments to these partnerships are drawn down over a number of years.  The term of </w:t>
      </w:r>
      <w:r>
        <w:rPr>
          <w:rFonts w:eastAsia="Arial Unicode MS" w:cs="Arial"/>
          <w:sz w:val="22"/>
          <w:szCs w:val="22"/>
        </w:rPr>
        <w:t>a fund investment is typically 10 years</w:t>
      </w:r>
      <w:r w:rsidRPr="007828C4">
        <w:rPr>
          <w:rFonts w:eastAsia="Arial Unicode MS" w:cs="Arial"/>
          <w:sz w:val="22"/>
          <w:szCs w:val="22"/>
        </w:rPr>
        <w:t xml:space="preserve">.  Realisation of these investments in the form of distributions normally occurs </w:t>
      </w:r>
      <w:r>
        <w:rPr>
          <w:rFonts w:eastAsia="Arial Unicode MS" w:cs="Arial"/>
          <w:sz w:val="22"/>
          <w:szCs w:val="22"/>
        </w:rPr>
        <w:t>in the second half of the fund life</w:t>
      </w:r>
      <w:r w:rsidRPr="007828C4">
        <w:rPr>
          <w:rFonts w:eastAsia="Arial Unicode MS" w:cs="Arial"/>
          <w:sz w:val="22"/>
          <w:szCs w:val="22"/>
        </w:rPr>
        <w:t xml:space="preserve">, when portfolio companies have built value and can be </w:t>
      </w:r>
      <w:r>
        <w:rPr>
          <w:rFonts w:eastAsia="Arial Unicode MS" w:cs="Arial"/>
          <w:sz w:val="22"/>
          <w:szCs w:val="22"/>
        </w:rPr>
        <w:t>sold</w:t>
      </w:r>
      <w:r w:rsidRPr="007828C4">
        <w:rPr>
          <w:rFonts w:eastAsia="Arial Unicode MS" w:cs="Arial"/>
          <w:sz w:val="22"/>
          <w:szCs w:val="22"/>
        </w:rPr>
        <w:t xml:space="preserve">.  </w:t>
      </w: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 xml:space="preserve">Commitments to outstanding call payments </w:t>
      </w:r>
      <w:r>
        <w:rPr>
          <w:rFonts w:eastAsia="Arial Unicode MS" w:cs="Arial"/>
          <w:sz w:val="22"/>
          <w:szCs w:val="22"/>
        </w:rPr>
        <w:t>for</w:t>
      </w:r>
      <w:r w:rsidRPr="007828C4">
        <w:rPr>
          <w:rFonts w:eastAsia="Arial Unicode MS" w:cs="Arial"/>
          <w:sz w:val="22"/>
          <w:szCs w:val="22"/>
        </w:rPr>
        <w:t xml:space="preserve"> credit strategies stood at </w:t>
      </w:r>
      <w:r>
        <w:rPr>
          <w:rFonts w:eastAsia="Arial Unicode MS" w:cs="Arial"/>
          <w:sz w:val="22"/>
          <w:szCs w:val="22"/>
        </w:rPr>
        <w:t>£462.4m</w:t>
      </w:r>
      <w:r w:rsidRPr="007828C4">
        <w:rPr>
          <w:rFonts w:eastAsia="Arial Unicode MS" w:cs="Arial"/>
          <w:sz w:val="22"/>
          <w:szCs w:val="22"/>
        </w:rPr>
        <w:t xml:space="preserve"> (201</w:t>
      </w:r>
      <w:r>
        <w:rPr>
          <w:rFonts w:eastAsia="Arial Unicode MS" w:cs="Arial"/>
          <w:sz w:val="22"/>
          <w:szCs w:val="22"/>
        </w:rPr>
        <w:t>7</w:t>
      </w:r>
      <w:r w:rsidRPr="007828C4">
        <w:rPr>
          <w:rFonts w:eastAsia="Arial Unicode MS" w:cs="Arial"/>
          <w:sz w:val="22"/>
          <w:szCs w:val="22"/>
        </w:rPr>
        <w:t>: £</w:t>
      </w:r>
      <w:r>
        <w:rPr>
          <w:rFonts w:eastAsia="Arial Unicode MS" w:cs="Arial"/>
          <w:sz w:val="22"/>
          <w:szCs w:val="22"/>
        </w:rPr>
        <w:t>390.7</w:t>
      </w:r>
      <w:r w:rsidRPr="007828C4">
        <w:rPr>
          <w:rFonts w:eastAsia="Arial Unicode MS" w:cs="Arial"/>
          <w:sz w:val="22"/>
          <w:szCs w:val="22"/>
        </w:rPr>
        <w:t>m).  The majority of these amounts are expected to be called over the coming two years and relate to various different investments including direct lending and distressed credit opportunities which are expected to begin repaying capital after 5 years.  In order to maintain a steady level of investment in the long term, the Fund will enter into further commitments to fund this type of strategy over the coming years.</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commitments on direct property development contracts relating to properties under construction held in the direct property part of the portfolio totalled </w:t>
      </w:r>
      <w:r>
        <w:rPr>
          <w:rFonts w:eastAsia="Arial Unicode MS" w:cs="Arial"/>
          <w:sz w:val="22"/>
          <w:szCs w:val="22"/>
        </w:rPr>
        <w:t>£47.3</w:t>
      </w:r>
      <w:r w:rsidRPr="007828C4">
        <w:rPr>
          <w:rFonts w:eastAsia="Arial Unicode MS" w:cs="Arial"/>
          <w:sz w:val="22"/>
          <w:szCs w:val="22"/>
        </w:rPr>
        <w:t>m (201</w:t>
      </w:r>
      <w:r>
        <w:rPr>
          <w:rFonts w:eastAsia="Arial Unicode MS" w:cs="Arial"/>
          <w:sz w:val="22"/>
          <w:szCs w:val="22"/>
        </w:rPr>
        <w:t>7</w:t>
      </w:r>
      <w:r w:rsidRPr="007828C4">
        <w:rPr>
          <w:rFonts w:eastAsia="Arial Unicode MS" w:cs="Arial"/>
          <w:sz w:val="22"/>
          <w:szCs w:val="22"/>
        </w:rPr>
        <w:t xml:space="preserve">: </w:t>
      </w:r>
      <w:r>
        <w:rPr>
          <w:rFonts w:eastAsia="Arial Unicode MS" w:cs="Arial"/>
          <w:sz w:val="22"/>
          <w:szCs w:val="22"/>
        </w:rPr>
        <w:t>£24.6m</w:t>
      </w:r>
      <w:r w:rsidRPr="007828C4">
        <w:rPr>
          <w:rFonts w:eastAsia="Arial Unicode MS" w:cs="Arial"/>
          <w:sz w:val="22"/>
          <w:szCs w:val="22"/>
        </w:rPr>
        <w:t xml:space="preserve">). These amounts are expected to be drawn down over the </w:t>
      </w:r>
      <w:r>
        <w:rPr>
          <w:rFonts w:eastAsia="Arial Unicode MS" w:cs="Arial"/>
          <w:sz w:val="22"/>
          <w:szCs w:val="22"/>
        </w:rPr>
        <w:t>next 10</w:t>
      </w:r>
      <w:r w:rsidRPr="007828C4">
        <w:rPr>
          <w:rFonts w:eastAsia="Arial Unicode MS" w:cs="Arial"/>
          <w:sz w:val="22"/>
          <w:szCs w:val="22"/>
        </w:rPr>
        <w:t xml:space="preserve"> months based on valuation certificates.</w:t>
      </w:r>
    </w:p>
    <w:p w:rsidR="00D66945" w:rsidRPr="007828C4" w:rsidRDefault="00D66945" w:rsidP="00D66945">
      <w:pPr>
        <w:rPr>
          <w:rFonts w:eastAsia="Arial Unicode MS" w:cs="Arial"/>
          <w:sz w:val="22"/>
          <w:szCs w:val="22"/>
        </w:rPr>
      </w:pPr>
      <w:r w:rsidRPr="007828C4">
        <w:rPr>
          <w:rFonts w:eastAsia="Arial Unicode MS" w:cs="Arial"/>
          <w:sz w:val="22"/>
          <w:szCs w:val="22"/>
        </w:rPr>
        <w:t>The</w:t>
      </w:r>
      <w:r>
        <w:rPr>
          <w:rFonts w:eastAsia="Arial Unicode MS" w:cs="Arial"/>
          <w:sz w:val="22"/>
          <w:szCs w:val="22"/>
        </w:rPr>
        <w:t>re is no outstanding</w:t>
      </w:r>
      <w:r w:rsidRPr="007828C4">
        <w:rPr>
          <w:rFonts w:eastAsia="Arial Unicode MS" w:cs="Arial"/>
          <w:sz w:val="22"/>
          <w:szCs w:val="22"/>
        </w:rPr>
        <w:t xml:space="preserve"> commitment on indirect property </w:t>
      </w:r>
      <w:r>
        <w:rPr>
          <w:rFonts w:eastAsia="Arial Unicode MS" w:cs="Arial"/>
          <w:sz w:val="22"/>
          <w:szCs w:val="22"/>
        </w:rPr>
        <w:t xml:space="preserve">investments </w:t>
      </w:r>
      <w:r w:rsidRPr="007828C4">
        <w:rPr>
          <w:rFonts w:eastAsia="Arial Unicode MS" w:cs="Arial"/>
          <w:sz w:val="22"/>
          <w:szCs w:val="22"/>
        </w:rPr>
        <w:t>(201</w:t>
      </w:r>
      <w:r>
        <w:rPr>
          <w:rFonts w:eastAsia="Arial Unicode MS" w:cs="Arial"/>
          <w:sz w:val="22"/>
          <w:szCs w:val="22"/>
        </w:rPr>
        <w:t>7</w:t>
      </w:r>
      <w:r w:rsidRPr="007828C4">
        <w:rPr>
          <w:rFonts w:eastAsia="Arial Unicode MS" w:cs="Arial"/>
          <w:sz w:val="22"/>
          <w:szCs w:val="22"/>
        </w:rPr>
        <w:t>: £</w:t>
      </w:r>
      <w:r>
        <w:rPr>
          <w:rFonts w:eastAsia="Arial Unicode MS" w:cs="Arial"/>
          <w:sz w:val="22"/>
          <w:szCs w:val="22"/>
        </w:rPr>
        <w:t>0.6</w:t>
      </w:r>
      <w:r w:rsidRPr="007828C4">
        <w:rPr>
          <w:rFonts w:eastAsia="Arial Unicode MS" w:cs="Arial"/>
          <w:sz w:val="22"/>
          <w:szCs w:val="22"/>
        </w:rPr>
        <w:t xml:space="preserve">m).  </w:t>
      </w:r>
    </w:p>
    <w:p w:rsidR="0090607B" w:rsidRPr="007828C4" w:rsidRDefault="0090607B" w:rsidP="00D66945">
      <w:pPr>
        <w:tabs>
          <w:tab w:val="left" w:pos="709"/>
        </w:tabs>
        <w:ind w:left="709"/>
        <w:rPr>
          <w:rFonts w:eastAsia="Arial Unicode MS" w:cs="Arial"/>
          <w:sz w:val="22"/>
          <w:szCs w:val="22"/>
        </w:rPr>
      </w:pPr>
    </w:p>
    <w:p w:rsidR="00D66945" w:rsidRPr="007828C4" w:rsidRDefault="00D66945" w:rsidP="00D66945">
      <w:pPr>
        <w:rPr>
          <w:rFonts w:eastAsia="Arial Unicode MS" w:cs="Arial"/>
          <w:sz w:val="32"/>
          <w:szCs w:val="32"/>
        </w:rPr>
      </w:pPr>
      <w:r w:rsidRPr="007828C4">
        <w:rPr>
          <w:rFonts w:eastAsia="Arial Unicode MS" w:cs="Arial"/>
          <w:b/>
          <w:sz w:val="32"/>
          <w:szCs w:val="32"/>
        </w:rPr>
        <w:t>2</w:t>
      </w:r>
      <w:r>
        <w:rPr>
          <w:rFonts w:eastAsia="Arial Unicode MS" w:cs="Arial"/>
          <w:b/>
          <w:sz w:val="32"/>
          <w:szCs w:val="32"/>
        </w:rPr>
        <w:t>2</w:t>
      </w:r>
      <w:r w:rsidRPr="007828C4">
        <w:rPr>
          <w:rFonts w:eastAsia="Arial Unicode MS" w:cs="Arial"/>
          <w:b/>
          <w:sz w:val="32"/>
          <w:szCs w:val="32"/>
        </w:rPr>
        <w:t>. RELATED PARTY TRANSACTIONS</w:t>
      </w:r>
    </w:p>
    <w:p w:rsidR="00D66945" w:rsidRPr="007828C4" w:rsidRDefault="00D66945" w:rsidP="00D66945">
      <w:pPr>
        <w:ind w:left="709"/>
        <w:rPr>
          <w:rFonts w:eastAsia="Arial Unicode MS" w:cs="Arial"/>
          <w:sz w:val="22"/>
          <w:szCs w:val="22"/>
        </w:rPr>
      </w:pP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 xml:space="preserve">In accordance with IFRS, the financial statements must contain the disclosures necessary to draw attention to the possibility that the reported financial position of the Pension Fund may have been affected by the existence of related parties and associated material transactions.  </w:t>
      </w: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There are three groups of related parties; transactions between Lancashire County Council as administering authority and the Fund; between employers within the Fund and the Fund; and between members and senior officers and the Fund.</w:t>
      </w:r>
    </w:p>
    <w:p w:rsidR="00D66945" w:rsidRPr="007828C4" w:rsidRDefault="00D66945" w:rsidP="00D66945">
      <w:pPr>
        <w:tabs>
          <w:tab w:val="left" w:pos="709"/>
        </w:tabs>
        <w:ind w:left="709"/>
        <w:rPr>
          <w:rFonts w:eastAsia="Arial Unicode MS" w:cs="Arial"/>
          <w:sz w:val="22"/>
          <w:szCs w:val="22"/>
        </w:rPr>
      </w:pPr>
    </w:p>
    <w:p w:rsidR="00D66945" w:rsidRPr="007828C4" w:rsidRDefault="00D66945" w:rsidP="00D66945">
      <w:pPr>
        <w:rPr>
          <w:rFonts w:eastAsia="Arial Unicode MS" w:cs="Arial"/>
          <w:b/>
          <w:sz w:val="32"/>
          <w:szCs w:val="32"/>
        </w:rPr>
      </w:pPr>
      <w:r w:rsidRPr="007828C4">
        <w:rPr>
          <w:rFonts w:eastAsia="Arial Unicode MS" w:cs="Arial"/>
          <w:b/>
          <w:sz w:val="32"/>
          <w:szCs w:val="32"/>
        </w:rPr>
        <w:t>2</w:t>
      </w:r>
      <w:r>
        <w:rPr>
          <w:rFonts w:eastAsia="Arial Unicode MS" w:cs="Arial"/>
          <w:b/>
          <w:sz w:val="32"/>
          <w:szCs w:val="32"/>
        </w:rPr>
        <w:t>2</w:t>
      </w:r>
      <w:r w:rsidRPr="007828C4">
        <w:rPr>
          <w:rFonts w:eastAsia="Arial Unicode MS" w:cs="Arial"/>
          <w:b/>
          <w:sz w:val="32"/>
          <w:szCs w:val="32"/>
        </w:rPr>
        <w:t>.1 Lancashire County Council</w:t>
      </w:r>
    </w:p>
    <w:p w:rsidR="00D66945" w:rsidRPr="007828C4" w:rsidRDefault="00D66945" w:rsidP="00D66945">
      <w:pPr>
        <w:ind w:left="709"/>
        <w:rPr>
          <w:rFonts w:eastAsia="Arial Unicode MS" w:cs="Arial"/>
          <w:b/>
          <w:sz w:val="22"/>
          <w:szCs w:val="22"/>
        </w:rPr>
      </w:pP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Lancashire County Pension Fund is administered by Lancashire County Council. </w:t>
      </w:r>
    </w:p>
    <w:p w:rsidR="00D66945" w:rsidRPr="007828C4" w:rsidRDefault="00D66945" w:rsidP="00D66945">
      <w:pPr>
        <w:rPr>
          <w:rFonts w:eastAsia="Arial Unicode MS" w:cs="Arial"/>
          <w:sz w:val="22"/>
          <w:szCs w:val="22"/>
          <w:highlight w:val="yellow"/>
        </w:rPr>
      </w:pPr>
      <w:r w:rsidRPr="007828C4">
        <w:rPr>
          <w:rFonts w:eastAsia="Arial Unicode MS" w:cs="Arial"/>
          <w:sz w:val="22"/>
          <w:szCs w:val="22"/>
        </w:rPr>
        <w:t xml:space="preserve">The Council incurred costs of </w:t>
      </w:r>
      <w:r w:rsidRPr="00B5681C">
        <w:rPr>
          <w:rFonts w:eastAsia="Arial Unicode MS" w:cs="Arial"/>
          <w:sz w:val="22"/>
          <w:szCs w:val="22"/>
        </w:rPr>
        <w:t>£0.6m</w:t>
      </w:r>
      <w:r w:rsidRPr="007828C4">
        <w:rPr>
          <w:rFonts w:eastAsia="Arial Unicode MS" w:cs="Arial"/>
          <w:sz w:val="22"/>
          <w:szCs w:val="22"/>
        </w:rPr>
        <w:t xml:space="preserve"> (</w:t>
      </w:r>
      <w:r>
        <w:rPr>
          <w:rFonts w:eastAsia="Arial Unicode MS" w:cs="Arial"/>
          <w:sz w:val="22"/>
          <w:szCs w:val="22"/>
        </w:rPr>
        <w:t>2016/17</w:t>
      </w:r>
      <w:r w:rsidRPr="007828C4">
        <w:rPr>
          <w:rFonts w:eastAsia="Arial Unicode MS" w:cs="Arial"/>
          <w:sz w:val="22"/>
          <w:szCs w:val="22"/>
        </w:rPr>
        <w:t>: £</w:t>
      </w:r>
      <w:r>
        <w:rPr>
          <w:rFonts w:eastAsia="Arial Unicode MS" w:cs="Arial"/>
          <w:sz w:val="22"/>
          <w:szCs w:val="22"/>
        </w:rPr>
        <w:t>0.4</w:t>
      </w:r>
      <w:r w:rsidRPr="007828C4">
        <w:rPr>
          <w:rFonts w:eastAsia="Arial Unicode MS" w:cs="Arial"/>
          <w:sz w:val="22"/>
          <w:szCs w:val="22"/>
        </w:rPr>
        <w:t>m) in relation to the administration of the Fund.  This includes a proportion of relevant officers' salaries in respect of time allocated to pension and investment issues.  The Council was subsequently reimbursed by the Fund for these expenses.</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Council is also the single largest employer of the members of the Pension Fund and contributed </w:t>
      </w:r>
      <w:r w:rsidRPr="00B5681C">
        <w:rPr>
          <w:rFonts w:eastAsia="Arial Unicode MS" w:cs="Arial"/>
          <w:sz w:val="22"/>
          <w:szCs w:val="22"/>
        </w:rPr>
        <w:t>£73.3</w:t>
      </w:r>
      <w:r w:rsidRPr="007828C4">
        <w:rPr>
          <w:rFonts w:eastAsia="Arial Unicode MS" w:cs="Arial"/>
          <w:sz w:val="22"/>
          <w:szCs w:val="22"/>
        </w:rPr>
        <w:t xml:space="preserve">m to the fund in </w:t>
      </w:r>
      <w:r>
        <w:rPr>
          <w:rFonts w:eastAsia="Arial Unicode MS" w:cs="Arial"/>
          <w:sz w:val="22"/>
          <w:szCs w:val="22"/>
        </w:rPr>
        <w:t>2017/18</w:t>
      </w:r>
      <w:r w:rsidRPr="007828C4">
        <w:rPr>
          <w:rFonts w:eastAsia="Arial Unicode MS" w:cs="Arial"/>
          <w:sz w:val="22"/>
          <w:szCs w:val="22"/>
        </w:rPr>
        <w:t xml:space="preserve"> (</w:t>
      </w:r>
      <w:r>
        <w:rPr>
          <w:rFonts w:eastAsia="Arial Unicode MS" w:cs="Arial"/>
          <w:sz w:val="22"/>
          <w:szCs w:val="22"/>
        </w:rPr>
        <w:t>2016/17</w:t>
      </w:r>
      <w:r w:rsidRPr="007828C4">
        <w:rPr>
          <w:rFonts w:eastAsia="Arial Unicode MS" w:cs="Arial"/>
          <w:sz w:val="22"/>
          <w:szCs w:val="22"/>
        </w:rPr>
        <w:t>: £</w:t>
      </w:r>
      <w:r>
        <w:rPr>
          <w:rFonts w:eastAsia="Arial Unicode MS" w:cs="Arial"/>
          <w:sz w:val="22"/>
          <w:szCs w:val="22"/>
        </w:rPr>
        <w:t>87.0</w:t>
      </w:r>
      <w:r w:rsidRPr="007828C4">
        <w:rPr>
          <w:rFonts w:eastAsia="Arial Unicode MS" w:cs="Arial"/>
          <w:sz w:val="22"/>
          <w:szCs w:val="22"/>
        </w:rPr>
        <w:t>m).  All monies owing to and due from the Fund were paid in year.</w:t>
      </w:r>
    </w:p>
    <w:p w:rsidR="00D66945" w:rsidRPr="007828C4" w:rsidRDefault="00D66945" w:rsidP="00D66945">
      <w:pPr>
        <w:rPr>
          <w:rFonts w:eastAsia="Arial Unicode MS" w:cs="Arial"/>
          <w:sz w:val="22"/>
          <w:szCs w:val="22"/>
        </w:rPr>
      </w:pPr>
      <w:r w:rsidRPr="007828C4">
        <w:rPr>
          <w:rFonts w:eastAsia="Arial Unicode MS" w:cs="Arial"/>
          <w:sz w:val="22"/>
          <w:szCs w:val="22"/>
        </w:rPr>
        <w:t>Lancashire County Council is a shareholder in the Local Pensions Partnership (LPP), having an ownership in the company equal to that of the London Pension Fund Authority.  LPP manages the investment and administration functions of the Fund and the Fund makes regular payments to LPP to cover investment management charges, scheme administration expenses, employer risk services and liability modelling.  Payments made for the year to 31 March 201</w:t>
      </w:r>
      <w:r>
        <w:rPr>
          <w:rFonts w:eastAsia="Arial Unicode MS" w:cs="Arial"/>
          <w:sz w:val="22"/>
          <w:szCs w:val="22"/>
        </w:rPr>
        <w:t>8</w:t>
      </w:r>
      <w:r w:rsidRPr="007828C4">
        <w:rPr>
          <w:rFonts w:eastAsia="Arial Unicode MS" w:cs="Arial"/>
          <w:sz w:val="22"/>
          <w:szCs w:val="22"/>
        </w:rPr>
        <w:t xml:space="preserve"> amount to </w:t>
      </w:r>
      <w:r w:rsidRPr="00001BC6">
        <w:rPr>
          <w:rFonts w:eastAsia="Arial Unicode MS" w:cs="Arial"/>
          <w:sz w:val="22"/>
          <w:szCs w:val="22"/>
        </w:rPr>
        <w:t>£6.8m</w:t>
      </w:r>
      <w:r w:rsidRPr="007828C4">
        <w:rPr>
          <w:rFonts w:eastAsia="Arial Unicode MS" w:cs="Arial"/>
          <w:sz w:val="22"/>
          <w:szCs w:val="22"/>
        </w:rPr>
        <w:t xml:space="preserve"> (</w:t>
      </w:r>
      <w:r>
        <w:rPr>
          <w:rFonts w:eastAsia="Arial Unicode MS" w:cs="Arial"/>
          <w:sz w:val="22"/>
          <w:szCs w:val="22"/>
        </w:rPr>
        <w:t>2016/17</w:t>
      </w:r>
      <w:r w:rsidRPr="007828C4">
        <w:rPr>
          <w:rFonts w:eastAsia="Arial Unicode MS" w:cs="Arial"/>
          <w:sz w:val="22"/>
          <w:szCs w:val="22"/>
        </w:rPr>
        <w:t xml:space="preserve">: </w:t>
      </w:r>
      <w:r>
        <w:rPr>
          <w:rFonts w:eastAsia="Arial Unicode MS" w:cs="Arial"/>
          <w:sz w:val="22"/>
          <w:szCs w:val="22"/>
        </w:rPr>
        <w:t>£8.2m</w:t>
      </w:r>
      <w:r w:rsidRPr="007828C4">
        <w:rPr>
          <w:rFonts w:eastAsia="Arial Unicode MS" w:cs="Arial"/>
          <w:sz w:val="22"/>
          <w:szCs w:val="22"/>
        </w:rPr>
        <w:t>).</w:t>
      </w:r>
    </w:p>
    <w:p w:rsidR="00D66945" w:rsidRPr="007828C4" w:rsidRDefault="00D66945" w:rsidP="00D66945">
      <w:pPr>
        <w:rPr>
          <w:rFonts w:eastAsia="Arial Unicode MS" w:cs="Arial"/>
          <w:b/>
          <w:sz w:val="32"/>
          <w:szCs w:val="32"/>
        </w:rPr>
      </w:pPr>
      <w:r w:rsidRPr="007828C4">
        <w:rPr>
          <w:rFonts w:eastAsia="Arial Unicode MS" w:cs="Arial"/>
          <w:b/>
          <w:sz w:val="32"/>
          <w:szCs w:val="32"/>
        </w:rPr>
        <w:t>2</w:t>
      </w:r>
      <w:r>
        <w:rPr>
          <w:rFonts w:eastAsia="Arial Unicode MS" w:cs="Arial"/>
          <w:b/>
          <w:sz w:val="32"/>
          <w:szCs w:val="32"/>
        </w:rPr>
        <w:t>2</w:t>
      </w:r>
      <w:r w:rsidRPr="007828C4">
        <w:rPr>
          <w:rFonts w:eastAsia="Arial Unicode MS" w:cs="Arial"/>
          <w:b/>
          <w:sz w:val="32"/>
          <w:szCs w:val="32"/>
        </w:rPr>
        <w:t>.2 Employers within the Fund</w:t>
      </w:r>
    </w:p>
    <w:p w:rsidR="00D66945" w:rsidRPr="007828C4" w:rsidRDefault="00D66945" w:rsidP="00D66945">
      <w:pPr>
        <w:tabs>
          <w:tab w:val="left" w:pos="709"/>
        </w:tabs>
        <w:rPr>
          <w:rFonts w:eastAsia="Arial Unicode MS" w:cs="Arial"/>
          <w:sz w:val="22"/>
          <w:szCs w:val="22"/>
        </w:rPr>
      </w:pPr>
      <w:r w:rsidRPr="007828C4">
        <w:rPr>
          <w:rFonts w:eastAsia="Arial Unicode MS" w:cs="Arial"/>
          <w:sz w:val="22"/>
          <w:szCs w:val="22"/>
        </w:rPr>
        <w:t>Employers are related parties in so far as they pay contributions to the Fund in accordance with the appropriate Local Government Pension Scheme Regulations (LGPS).  Contributions for the year are shown in note 6 and in respect of March 201</w:t>
      </w:r>
      <w:r>
        <w:rPr>
          <w:rFonts w:eastAsia="Arial Unicode MS" w:cs="Arial"/>
          <w:sz w:val="22"/>
          <w:szCs w:val="22"/>
        </w:rPr>
        <w:t>8</w:t>
      </w:r>
      <w:r w:rsidRPr="007828C4">
        <w:rPr>
          <w:rFonts w:eastAsia="Arial Unicode MS" w:cs="Arial"/>
          <w:sz w:val="22"/>
          <w:szCs w:val="22"/>
        </w:rPr>
        <w:t xml:space="preserve"> payroll, are included within the debtors figure in note 20.</w:t>
      </w:r>
    </w:p>
    <w:p w:rsidR="00D66945" w:rsidRPr="007828C4" w:rsidRDefault="00D66945" w:rsidP="00D66945">
      <w:pPr>
        <w:tabs>
          <w:tab w:val="left" w:pos="709"/>
        </w:tabs>
        <w:rPr>
          <w:rFonts w:eastAsia="Arial Unicode MS" w:cs="Arial"/>
          <w:sz w:val="22"/>
          <w:szCs w:val="22"/>
        </w:rPr>
      </w:pPr>
    </w:p>
    <w:p w:rsidR="00D66945" w:rsidRPr="007828C4" w:rsidRDefault="00D66945" w:rsidP="00D66945">
      <w:pPr>
        <w:tabs>
          <w:tab w:val="left" w:pos="709"/>
        </w:tabs>
        <w:ind w:left="709"/>
        <w:rPr>
          <w:rFonts w:eastAsia="Arial Unicode MS" w:cs="Arial"/>
          <w:sz w:val="22"/>
          <w:szCs w:val="22"/>
        </w:rPr>
      </w:pPr>
    </w:p>
    <w:p w:rsidR="00D66945" w:rsidRPr="007828C4" w:rsidRDefault="00D66945" w:rsidP="00D66945">
      <w:pPr>
        <w:rPr>
          <w:rFonts w:eastAsia="Arial Unicode MS" w:cs="Arial"/>
          <w:b/>
          <w:sz w:val="32"/>
          <w:szCs w:val="32"/>
        </w:rPr>
      </w:pPr>
      <w:r w:rsidRPr="007828C4">
        <w:rPr>
          <w:rFonts w:eastAsia="Arial Unicode MS" w:cs="Arial"/>
          <w:b/>
          <w:sz w:val="32"/>
          <w:szCs w:val="32"/>
        </w:rPr>
        <w:t>2</w:t>
      </w:r>
      <w:r>
        <w:rPr>
          <w:rFonts w:eastAsia="Arial Unicode MS" w:cs="Arial"/>
          <w:b/>
          <w:sz w:val="32"/>
          <w:szCs w:val="32"/>
        </w:rPr>
        <w:t>2</w:t>
      </w:r>
      <w:r w:rsidRPr="007828C4">
        <w:rPr>
          <w:rFonts w:eastAsia="Arial Unicode MS" w:cs="Arial"/>
          <w:b/>
          <w:sz w:val="32"/>
          <w:szCs w:val="32"/>
        </w:rPr>
        <w:t>.3 Pension Fund Committee, Pensions Board and Senior Officers.</w:t>
      </w:r>
    </w:p>
    <w:p w:rsidR="00D66945" w:rsidRPr="007828C4" w:rsidRDefault="00D66945" w:rsidP="00D66945">
      <w:pPr>
        <w:rPr>
          <w:rFonts w:eastAsia="Arial Unicode MS" w:cs="Arial"/>
          <w:sz w:val="22"/>
          <w:szCs w:val="22"/>
        </w:rPr>
      </w:pPr>
      <w:r w:rsidRPr="007828C4">
        <w:rPr>
          <w:rFonts w:eastAsia="Arial Unicode MS" w:cs="Arial"/>
          <w:sz w:val="22"/>
          <w:szCs w:val="22"/>
        </w:rPr>
        <w:t xml:space="preserve">The Pension Fund Committee, Pensions Board members and senior officers of the Pension Fund were asked to complete a related party declaration for </w:t>
      </w:r>
      <w:r>
        <w:rPr>
          <w:rFonts w:eastAsia="Arial Unicode MS" w:cs="Arial"/>
          <w:sz w:val="22"/>
          <w:szCs w:val="22"/>
        </w:rPr>
        <w:t>2017/18</w:t>
      </w:r>
      <w:r w:rsidRPr="007828C4">
        <w:rPr>
          <w:rFonts w:eastAsia="Arial Unicode MS" w:cs="Arial"/>
          <w:sz w:val="22"/>
          <w:szCs w:val="22"/>
        </w:rPr>
        <w:t xml:space="preserve"> regarding membership of, and transactions with such persons or their related parties. No related party transactions were identified during the year to 31 March 201</w:t>
      </w:r>
      <w:r>
        <w:rPr>
          <w:rFonts w:eastAsia="Arial Unicode MS" w:cs="Arial"/>
          <w:sz w:val="22"/>
          <w:szCs w:val="22"/>
        </w:rPr>
        <w:t>8</w:t>
      </w:r>
      <w:r w:rsidRPr="007828C4">
        <w:rPr>
          <w:rFonts w:eastAsia="Arial Unicode MS" w:cs="Arial"/>
          <w:sz w:val="22"/>
          <w:szCs w:val="22"/>
        </w:rPr>
        <w:t>.</w:t>
      </w:r>
    </w:p>
    <w:p w:rsidR="00D66945" w:rsidRPr="007828C4" w:rsidRDefault="00D66945" w:rsidP="00D66945">
      <w:pPr>
        <w:rPr>
          <w:rFonts w:eastAsia="Arial Unicode MS" w:cs="Arial"/>
          <w:sz w:val="22"/>
          <w:szCs w:val="22"/>
        </w:rPr>
      </w:pPr>
      <w:r w:rsidRPr="007828C4">
        <w:rPr>
          <w:rFonts w:eastAsia="Arial Unicode MS" w:cs="Arial"/>
          <w:sz w:val="22"/>
          <w:szCs w:val="22"/>
        </w:rPr>
        <w:t>Each member of the Pension Fund Committee and Pension Board formally considers conflicts of interest at each meeting.</w:t>
      </w:r>
    </w:p>
    <w:p w:rsidR="00D66945" w:rsidRPr="007828C4" w:rsidRDefault="00D66945" w:rsidP="00D66945">
      <w:pPr>
        <w:rPr>
          <w:rFonts w:eastAsia="Arial Unicode MS" w:cs="Arial"/>
          <w:sz w:val="22"/>
          <w:szCs w:val="22"/>
        </w:rPr>
      </w:pPr>
    </w:p>
    <w:p w:rsidR="00D66945" w:rsidRPr="007828C4" w:rsidRDefault="00D66945" w:rsidP="00D66945">
      <w:pPr>
        <w:rPr>
          <w:rFonts w:eastAsia="Arial Unicode MS" w:cs="Arial"/>
          <w:sz w:val="22"/>
          <w:szCs w:val="22"/>
        </w:rPr>
      </w:pPr>
    </w:p>
    <w:p w:rsidR="00D66945" w:rsidRPr="007828C4" w:rsidRDefault="00D66945" w:rsidP="00D66945">
      <w:pPr>
        <w:widowControl w:val="0"/>
        <w:suppressAutoHyphens/>
        <w:contextualSpacing/>
        <w:rPr>
          <w:rFonts w:eastAsia="Arial Unicode MS" w:cs="Arial"/>
          <w:b/>
          <w:sz w:val="32"/>
          <w:szCs w:val="22"/>
        </w:rPr>
      </w:pPr>
      <w:r w:rsidRPr="007828C4">
        <w:rPr>
          <w:rFonts w:eastAsia="Arial Unicode MS" w:cs="Arial"/>
          <w:b/>
          <w:sz w:val="32"/>
          <w:szCs w:val="32"/>
        </w:rPr>
        <w:t>2</w:t>
      </w:r>
      <w:r>
        <w:rPr>
          <w:rFonts w:eastAsia="Arial Unicode MS" w:cs="Arial"/>
          <w:b/>
          <w:sz w:val="32"/>
          <w:szCs w:val="32"/>
        </w:rPr>
        <w:t>3</w:t>
      </w:r>
      <w:r w:rsidRPr="007828C4">
        <w:rPr>
          <w:rFonts w:eastAsia="Arial Unicode MS" w:cs="Arial"/>
          <w:b/>
          <w:sz w:val="32"/>
          <w:szCs w:val="32"/>
        </w:rPr>
        <w:t xml:space="preserve">.  </w:t>
      </w:r>
      <w:r w:rsidRPr="007828C4">
        <w:rPr>
          <w:rFonts w:eastAsia="Arial Unicode MS" w:cs="Arial"/>
          <w:b/>
          <w:sz w:val="32"/>
          <w:szCs w:val="22"/>
        </w:rPr>
        <w:t>KEY MANAGEMENT PERSONNEL</w:t>
      </w:r>
    </w:p>
    <w:p w:rsidR="00D66945" w:rsidRPr="007828C4" w:rsidRDefault="00D66945" w:rsidP="00D66945">
      <w:pPr>
        <w:ind w:left="709"/>
        <w:rPr>
          <w:rFonts w:eastAsia="Arial Unicode MS" w:cs="Arial"/>
          <w:b/>
          <w:sz w:val="22"/>
          <w:szCs w:val="22"/>
        </w:rPr>
      </w:pPr>
    </w:p>
    <w:p w:rsidR="00D66945" w:rsidRDefault="00D66945" w:rsidP="00D66945">
      <w:pPr>
        <w:rPr>
          <w:rFonts w:eastAsia="Arial Unicode MS" w:cs="Arial"/>
          <w:sz w:val="22"/>
          <w:szCs w:val="22"/>
        </w:rPr>
      </w:pPr>
      <w:r w:rsidRPr="007828C4">
        <w:rPr>
          <w:rFonts w:eastAsia="Arial Unicode MS" w:cs="Arial"/>
          <w:sz w:val="22"/>
          <w:szCs w:val="22"/>
        </w:rPr>
        <w:t xml:space="preserve">The key management personnel of the Fund are the Lancashire County Council </w:t>
      </w:r>
      <w:r>
        <w:rPr>
          <w:rFonts w:eastAsia="Arial Unicode MS" w:cs="Arial"/>
          <w:sz w:val="22"/>
          <w:szCs w:val="22"/>
        </w:rPr>
        <w:t xml:space="preserve">Chief Executive and Director of Resources, the Lancashire County Council Director of Financial Resources and </w:t>
      </w:r>
      <w:r w:rsidRPr="007828C4">
        <w:rPr>
          <w:rFonts w:eastAsia="Arial Unicode MS" w:cs="Arial"/>
          <w:sz w:val="22"/>
          <w:szCs w:val="22"/>
        </w:rPr>
        <w:t xml:space="preserve">the Head of Fund.  </w:t>
      </w:r>
    </w:p>
    <w:p w:rsidR="00D66945" w:rsidRPr="007828C4" w:rsidRDefault="00D66945" w:rsidP="00D66945">
      <w:pPr>
        <w:rPr>
          <w:rFonts w:eastAsia="Arial Unicode MS" w:cs="Arial"/>
          <w:sz w:val="22"/>
          <w:szCs w:val="22"/>
        </w:rPr>
      </w:pPr>
      <w:r w:rsidRPr="007828C4">
        <w:rPr>
          <w:rFonts w:eastAsia="Arial Unicode MS" w:cs="Arial"/>
          <w:sz w:val="22"/>
          <w:szCs w:val="22"/>
        </w:rPr>
        <w:t>Total remuneration payable to key management personnel is set out below:</w:t>
      </w:r>
    </w:p>
    <w:p w:rsidR="00D66945" w:rsidRPr="007828C4" w:rsidRDefault="00D66945" w:rsidP="00D66945">
      <w:pPr>
        <w:rPr>
          <w:rFonts w:eastAsia="Arial Unicode MS" w:cs="Arial"/>
          <w:sz w:val="22"/>
          <w:szCs w:val="22"/>
        </w:rPr>
      </w:pPr>
    </w:p>
    <w:p w:rsidR="00D66945" w:rsidRPr="007828C4" w:rsidRDefault="00D66945" w:rsidP="00D66945">
      <w:pPr>
        <w:ind w:left="709"/>
        <w:rPr>
          <w:rFonts w:eastAsia="Arial Unicode MS" w:cs="Arial"/>
          <w:sz w:val="22"/>
          <w:szCs w:val="22"/>
        </w:rPr>
      </w:pPr>
    </w:p>
    <w:p w:rsidR="00D66945" w:rsidRPr="007828C4" w:rsidRDefault="00D66945" w:rsidP="00D66945">
      <w:pPr>
        <w:ind w:left="709"/>
        <w:rPr>
          <w:rFonts w:eastAsia="Arial Unicode MS" w:cs="Arial"/>
          <w:sz w:val="22"/>
          <w:szCs w:val="22"/>
        </w:rPr>
      </w:pPr>
    </w:p>
    <w:p w:rsidR="00D66945" w:rsidRPr="007828C4" w:rsidRDefault="00D66945" w:rsidP="00D66945">
      <w:pPr>
        <w:ind w:left="720"/>
        <w:rPr>
          <w:rFonts w:eastAsia="Arial Unicode MS" w:cs="Arial"/>
          <w:sz w:val="22"/>
          <w:szCs w:val="22"/>
        </w:rPr>
      </w:pPr>
    </w:p>
    <w:p w:rsidR="00D66945" w:rsidRPr="007828C4" w:rsidRDefault="00D66945" w:rsidP="00D66945">
      <w:pPr>
        <w:ind w:left="720"/>
        <w:rPr>
          <w:rFonts w:eastAsia="Arial Unicode MS" w:cs="Arial"/>
          <w:sz w:val="22"/>
          <w:szCs w:val="22"/>
        </w:rPr>
        <w:sectPr w:rsidR="00D66945" w:rsidRPr="007828C4" w:rsidSect="00A33453">
          <w:headerReference w:type="even" r:id="rId31"/>
          <w:headerReference w:type="default" r:id="rId32"/>
          <w:footerReference w:type="default" r:id="rId33"/>
          <w:headerReference w:type="first" r:id="rId34"/>
          <w:pgSz w:w="11900" w:h="16840" w:code="9"/>
          <w:pgMar w:top="1440" w:right="1111" w:bottom="1440" w:left="1191" w:header="567" w:footer="567" w:gutter="0"/>
          <w:cols w:space="292"/>
          <w:docGrid w:linePitch="326"/>
        </w:sectPr>
      </w:pPr>
    </w:p>
    <w:p w:rsidR="00D66945" w:rsidRPr="007828C4" w:rsidRDefault="00D66945" w:rsidP="00D66945">
      <w:pPr>
        <w:ind w:left="720"/>
        <w:rPr>
          <w:rFonts w:eastAsia="Arial Unicode MS" w:cs="Arial"/>
          <w:sz w:val="22"/>
          <w:szCs w:val="22"/>
        </w:rPr>
      </w:pPr>
    </w:p>
    <w:tbl>
      <w:tblPr>
        <w:tblStyle w:val="TableGrid2"/>
        <w:tblW w:w="15168"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5954"/>
        <w:gridCol w:w="2303"/>
        <w:gridCol w:w="2304"/>
        <w:gridCol w:w="2303"/>
        <w:gridCol w:w="2304"/>
      </w:tblGrid>
      <w:tr w:rsidR="00D66945" w:rsidRPr="007828C4" w:rsidTr="00A33453">
        <w:trPr>
          <w:trHeight w:val="431"/>
        </w:trPr>
        <w:tc>
          <w:tcPr>
            <w:tcW w:w="5954" w:type="dxa"/>
            <w:tcBorders>
              <w:bottom w:val="nil"/>
            </w:tcBorders>
            <w:shd w:val="clear" w:color="auto" w:fill="E7E6E6" w:themeFill="background2"/>
          </w:tcPr>
          <w:p w:rsidR="00D66945" w:rsidRPr="007828C4" w:rsidRDefault="00D66945" w:rsidP="00A33453">
            <w:pPr>
              <w:rPr>
                <w:rFonts w:eastAsia="Arial Unicode MS" w:cs="Arial"/>
                <w:b/>
                <w:sz w:val="20"/>
                <w:szCs w:val="22"/>
              </w:rPr>
            </w:pPr>
            <w:r>
              <w:rPr>
                <w:rFonts w:eastAsia="Arial Unicode MS" w:cs="Arial"/>
                <w:b/>
                <w:sz w:val="20"/>
                <w:szCs w:val="22"/>
              </w:rPr>
              <w:t>2017/18</w:t>
            </w:r>
          </w:p>
        </w:tc>
        <w:tc>
          <w:tcPr>
            <w:tcW w:w="2303" w:type="dxa"/>
            <w:shd w:val="clear" w:color="auto" w:fill="E7E6E6" w:themeFill="background2"/>
          </w:tcPr>
          <w:p w:rsidR="00D66945" w:rsidRPr="007828C4" w:rsidRDefault="00D66945" w:rsidP="00A33453">
            <w:pPr>
              <w:jc w:val="center"/>
              <w:rPr>
                <w:rFonts w:eastAsia="Arial Unicode MS" w:cs="Arial"/>
                <w:b/>
                <w:sz w:val="20"/>
                <w:szCs w:val="22"/>
              </w:rPr>
            </w:pPr>
            <w:r w:rsidRPr="007828C4">
              <w:rPr>
                <w:rFonts w:eastAsia="Arial Unicode MS" w:cs="Arial"/>
                <w:b/>
                <w:sz w:val="20"/>
                <w:szCs w:val="22"/>
              </w:rPr>
              <w:t>Employment period</w:t>
            </w:r>
          </w:p>
        </w:tc>
        <w:tc>
          <w:tcPr>
            <w:tcW w:w="2304" w:type="dxa"/>
            <w:shd w:val="clear" w:color="auto" w:fill="E7E6E6" w:themeFill="background2"/>
          </w:tcPr>
          <w:p w:rsidR="00D66945" w:rsidRPr="007828C4" w:rsidRDefault="00D66945" w:rsidP="00A33453">
            <w:pPr>
              <w:jc w:val="center"/>
              <w:rPr>
                <w:rFonts w:eastAsia="Arial Unicode MS" w:cs="Arial"/>
                <w:b/>
                <w:sz w:val="20"/>
                <w:szCs w:val="22"/>
              </w:rPr>
            </w:pPr>
            <w:r w:rsidRPr="007828C4">
              <w:rPr>
                <w:rFonts w:eastAsia="Arial Unicode MS" w:cs="Arial"/>
                <w:b/>
                <w:sz w:val="20"/>
                <w:szCs w:val="22"/>
              </w:rPr>
              <w:t>Salary</w:t>
            </w:r>
            <w:r w:rsidRPr="007828C4">
              <w:rPr>
                <w:rFonts w:eastAsia="Arial Unicode MS" w:cs="Arial"/>
                <w:b/>
                <w:sz w:val="20"/>
                <w:szCs w:val="22"/>
                <w:vertAlign w:val="superscript"/>
              </w:rPr>
              <w:t>1</w:t>
            </w:r>
          </w:p>
        </w:tc>
        <w:tc>
          <w:tcPr>
            <w:tcW w:w="2303" w:type="dxa"/>
            <w:shd w:val="clear" w:color="auto" w:fill="E7E6E6" w:themeFill="background2"/>
          </w:tcPr>
          <w:p w:rsidR="00D66945" w:rsidRPr="007828C4" w:rsidRDefault="00D66945" w:rsidP="00A33453">
            <w:pPr>
              <w:jc w:val="center"/>
              <w:rPr>
                <w:rFonts w:eastAsia="Arial Unicode MS" w:cs="Arial"/>
                <w:b/>
                <w:sz w:val="20"/>
                <w:szCs w:val="22"/>
              </w:rPr>
            </w:pPr>
            <w:r>
              <w:rPr>
                <w:rFonts w:eastAsia="Arial Unicode MS" w:cs="Arial"/>
                <w:b/>
                <w:sz w:val="20"/>
                <w:szCs w:val="22"/>
              </w:rPr>
              <w:t>Employer p</w:t>
            </w:r>
            <w:r w:rsidRPr="007828C4">
              <w:rPr>
                <w:rFonts w:eastAsia="Arial Unicode MS" w:cs="Arial"/>
                <w:b/>
                <w:sz w:val="20"/>
                <w:szCs w:val="22"/>
              </w:rPr>
              <w:t>ension contributions</w:t>
            </w:r>
            <w:r w:rsidRPr="007828C4">
              <w:rPr>
                <w:rFonts w:eastAsia="Arial Unicode MS" w:cs="Arial"/>
                <w:b/>
                <w:sz w:val="20"/>
                <w:szCs w:val="22"/>
                <w:vertAlign w:val="superscript"/>
              </w:rPr>
              <w:t>1</w:t>
            </w:r>
          </w:p>
        </w:tc>
        <w:tc>
          <w:tcPr>
            <w:tcW w:w="2304" w:type="dxa"/>
            <w:shd w:val="clear" w:color="auto" w:fill="E7E6E6" w:themeFill="background2"/>
          </w:tcPr>
          <w:p w:rsidR="00D66945" w:rsidRPr="007828C4" w:rsidRDefault="00D66945" w:rsidP="00A33453">
            <w:pPr>
              <w:jc w:val="center"/>
              <w:rPr>
                <w:rFonts w:eastAsia="Arial Unicode MS" w:cs="Arial"/>
                <w:b/>
                <w:sz w:val="20"/>
                <w:szCs w:val="22"/>
              </w:rPr>
            </w:pPr>
            <w:r w:rsidRPr="007828C4">
              <w:rPr>
                <w:rFonts w:eastAsia="Arial Unicode MS" w:cs="Arial"/>
                <w:b/>
                <w:sz w:val="20"/>
                <w:szCs w:val="22"/>
              </w:rPr>
              <w:t>Total including pension contributions</w:t>
            </w:r>
            <w:r w:rsidRPr="007828C4">
              <w:rPr>
                <w:rFonts w:eastAsia="Arial Unicode MS" w:cs="Arial"/>
                <w:b/>
                <w:sz w:val="20"/>
                <w:szCs w:val="22"/>
                <w:vertAlign w:val="superscript"/>
              </w:rPr>
              <w:t>1</w:t>
            </w:r>
          </w:p>
        </w:tc>
      </w:tr>
      <w:tr w:rsidR="00D66945" w:rsidRPr="007828C4" w:rsidTr="00A33453">
        <w:trPr>
          <w:trHeight w:val="431"/>
        </w:trPr>
        <w:tc>
          <w:tcPr>
            <w:tcW w:w="5954" w:type="dxa"/>
            <w:tcBorders>
              <w:top w:val="nil"/>
            </w:tcBorders>
            <w:shd w:val="clear" w:color="auto" w:fill="E7E6E6" w:themeFill="background2"/>
          </w:tcPr>
          <w:p w:rsidR="00D66945" w:rsidRPr="007828C4" w:rsidRDefault="00D66945" w:rsidP="00A33453">
            <w:pPr>
              <w:jc w:val="right"/>
              <w:rPr>
                <w:rFonts w:eastAsia="Arial Unicode MS" w:cs="Arial"/>
                <w:b/>
                <w:sz w:val="20"/>
                <w:szCs w:val="22"/>
              </w:rPr>
            </w:pPr>
          </w:p>
        </w:tc>
        <w:tc>
          <w:tcPr>
            <w:tcW w:w="2303" w:type="dxa"/>
            <w:shd w:val="clear" w:color="auto" w:fill="E7E6E6" w:themeFill="background2"/>
          </w:tcPr>
          <w:p w:rsidR="00D66945" w:rsidRPr="007828C4" w:rsidRDefault="00D66945" w:rsidP="00A33453">
            <w:pPr>
              <w:jc w:val="right"/>
              <w:rPr>
                <w:rFonts w:eastAsia="Arial Unicode MS" w:cs="Arial"/>
                <w:b/>
                <w:sz w:val="20"/>
                <w:szCs w:val="22"/>
              </w:rPr>
            </w:pPr>
          </w:p>
        </w:tc>
        <w:tc>
          <w:tcPr>
            <w:tcW w:w="2304" w:type="dxa"/>
            <w:shd w:val="clear" w:color="auto" w:fill="E7E6E6" w:themeFill="background2"/>
          </w:tcPr>
          <w:p w:rsidR="00D66945" w:rsidRPr="007828C4" w:rsidRDefault="00D66945" w:rsidP="00A33453">
            <w:pPr>
              <w:jc w:val="right"/>
              <w:rPr>
                <w:rFonts w:eastAsia="Arial Unicode MS" w:cs="Arial"/>
                <w:b/>
                <w:sz w:val="20"/>
                <w:szCs w:val="22"/>
              </w:rPr>
            </w:pPr>
            <w:r w:rsidRPr="007828C4">
              <w:rPr>
                <w:rFonts w:eastAsia="Arial Unicode MS" w:cs="Arial"/>
                <w:b/>
                <w:sz w:val="20"/>
                <w:szCs w:val="22"/>
              </w:rPr>
              <w:t>£</w:t>
            </w:r>
          </w:p>
        </w:tc>
        <w:tc>
          <w:tcPr>
            <w:tcW w:w="2303" w:type="dxa"/>
            <w:shd w:val="clear" w:color="auto" w:fill="E7E6E6" w:themeFill="background2"/>
          </w:tcPr>
          <w:p w:rsidR="00D66945" w:rsidRPr="007828C4" w:rsidRDefault="00D66945" w:rsidP="00A33453">
            <w:pPr>
              <w:jc w:val="right"/>
              <w:rPr>
                <w:rFonts w:eastAsia="Arial Unicode MS" w:cs="Arial"/>
                <w:b/>
                <w:sz w:val="20"/>
                <w:szCs w:val="22"/>
              </w:rPr>
            </w:pPr>
            <w:r w:rsidRPr="007828C4">
              <w:rPr>
                <w:rFonts w:eastAsia="Arial Unicode MS" w:cs="Arial"/>
                <w:b/>
                <w:sz w:val="20"/>
                <w:szCs w:val="22"/>
              </w:rPr>
              <w:t>£</w:t>
            </w:r>
          </w:p>
        </w:tc>
        <w:tc>
          <w:tcPr>
            <w:tcW w:w="2304" w:type="dxa"/>
            <w:shd w:val="clear" w:color="auto" w:fill="E7E6E6" w:themeFill="background2"/>
          </w:tcPr>
          <w:p w:rsidR="00D66945" w:rsidRPr="007828C4" w:rsidRDefault="00D66945" w:rsidP="00A33453">
            <w:pPr>
              <w:jc w:val="right"/>
              <w:rPr>
                <w:rFonts w:eastAsia="Arial Unicode MS" w:cs="Arial"/>
                <w:b/>
                <w:sz w:val="20"/>
                <w:szCs w:val="22"/>
              </w:rPr>
            </w:pPr>
            <w:r w:rsidRPr="007828C4">
              <w:rPr>
                <w:rFonts w:eastAsia="Arial Unicode MS" w:cs="Arial"/>
                <w:b/>
                <w:sz w:val="20"/>
                <w:szCs w:val="22"/>
              </w:rPr>
              <w:t>£</w:t>
            </w:r>
          </w:p>
        </w:tc>
      </w:tr>
      <w:tr w:rsidR="00D66945" w:rsidRPr="007828C4" w:rsidTr="00A33453">
        <w:trPr>
          <w:trHeight w:val="431"/>
        </w:trPr>
        <w:tc>
          <w:tcPr>
            <w:tcW w:w="5954"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Head of Fund</w:t>
            </w:r>
          </w:p>
        </w:tc>
        <w:tc>
          <w:tcPr>
            <w:tcW w:w="2303" w:type="dxa"/>
            <w:shd w:val="clear" w:color="auto" w:fill="auto"/>
          </w:tcPr>
          <w:p w:rsidR="00D66945" w:rsidRPr="007828C4" w:rsidRDefault="00D66945" w:rsidP="00A33453">
            <w:pPr>
              <w:jc w:val="center"/>
              <w:rPr>
                <w:rFonts w:eastAsia="Arial Unicode MS" w:cs="Arial"/>
                <w:sz w:val="20"/>
                <w:szCs w:val="22"/>
              </w:rPr>
            </w:pPr>
            <w:r w:rsidRPr="007828C4">
              <w:rPr>
                <w:rFonts w:eastAsia="Arial Unicode MS" w:cs="Arial"/>
                <w:sz w:val="20"/>
                <w:szCs w:val="22"/>
              </w:rPr>
              <w:t>01/04/1</w:t>
            </w:r>
            <w:r>
              <w:rPr>
                <w:rFonts w:eastAsia="Arial Unicode MS" w:cs="Arial"/>
                <w:sz w:val="20"/>
                <w:szCs w:val="22"/>
              </w:rPr>
              <w:t>7</w:t>
            </w:r>
            <w:r w:rsidRPr="007828C4">
              <w:rPr>
                <w:rFonts w:eastAsia="Arial Unicode MS" w:cs="Arial"/>
                <w:sz w:val="20"/>
                <w:szCs w:val="22"/>
              </w:rPr>
              <w:t xml:space="preserve"> – 31/03/1</w:t>
            </w:r>
            <w:r>
              <w:rPr>
                <w:rFonts w:eastAsia="Arial Unicode MS" w:cs="Arial"/>
                <w:sz w:val="20"/>
                <w:szCs w:val="22"/>
              </w:rPr>
              <w:t>8</w:t>
            </w:r>
          </w:p>
        </w:tc>
        <w:tc>
          <w:tcPr>
            <w:tcW w:w="2304"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54,699</w:t>
            </w:r>
          </w:p>
        </w:tc>
        <w:tc>
          <w:tcPr>
            <w:tcW w:w="2303"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8,228</w:t>
            </w:r>
          </w:p>
        </w:tc>
        <w:tc>
          <w:tcPr>
            <w:tcW w:w="2304"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62,927</w:t>
            </w:r>
          </w:p>
        </w:tc>
      </w:tr>
      <w:tr w:rsidR="00D66945" w:rsidRPr="007828C4" w:rsidTr="00A33453">
        <w:trPr>
          <w:trHeight w:val="431"/>
        </w:trPr>
        <w:tc>
          <w:tcPr>
            <w:tcW w:w="5954"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 xml:space="preserve">Director of Financial Resources </w:t>
            </w:r>
          </w:p>
        </w:tc>
        <w:tc>
          <w:tcPr>
            <w:tcW w:w="2303" w:type="dxa"/>
            <w:shd w:val="clear" w:color="auto" w:fill="auto"/>
          </w:tcPr>
          <w:p w:rsidR="00D66945" w:rsidRPr="007828C4" w:rsidRDefault="00D66945" w:rsidP="00A33453">
            <w:pPr>
              <w:jc w:val="center"/>
              <w:rPr>
                <w:rFonts w:eastAsia="Arial Unicode MS" w:cs="Arial"/>
                <w:sz w:val="20"/>
                <w:szCs w:val="22"/>
              </w:rPr>
            </w:pPr>
            <w:r w:rsidRPr="007828C4">
              <w:rPr>
                <w:rFonts w:eastAsia="Arial Unicode MS" w:cs="Arial"/>
                <w:sz w:val="20"/>
                <w:szCs w:val="22"/>
              </w:rPr>
              <w:t>01/04/1</w:t>
            </w:r>
            <w:r>
              <w:rPr>
                <w:rFonts w:eastAsia="Arial Unicode MS" w:cs="Arial"/>
                <w:sz w:val="20"/>
                <w:szCs w:val="22"/>
              </w:rPr>
              <w:t>7</w:t>
            </w:r>
            <w:r w:rsidRPr="007828C4">
              <w:rPr>
                <w:rFonts w:eastAsia="Arial Unicode MS" w:cs="Arial"/>
                <w:sz w:val="20"/>
                <w:szCs w:val="22"/>
              </w:rPr>
              <w:t xml:space="preserve"> – 31/03/1</w:t>
            </w:r>
            <w:r>
              <w:rPr>
                <w:rFonts w:eastAsia="Arial Unicode MS" w:cs="Arial"/>
                <w:sz w:val="20"/>
                <w:szCs w:val="22"/>
              </w:rPr>
              <w:t>8</w:t>
            </w:r>
          </w:p>
        </w:tc>
        <w:tc>
          <w:tcPr>
            <w:tcW w:w="2304"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4,653</w:t>
            </w:r>
          </w:p>
        </w:tc>
        <w:tc>
          <w:tcPr>
            <w:tcW w:w="2303"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703</w:t>
            </w:r>
          </w:p>
        </w:tc>
        <w:tc>
          <w:tcPr>
            <w:tcW w:w="2304"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5,356</w:t>
            </w:r>
          </w:p>
        </w:tc>
      </w:tr>
      <w:tr w:rsidR="00D66945" w:rsidRPr="007828C4" w:rsidTr="00A33453">
        <w:trPr>
          <w:trHeight w:val="431"/>
        </w:trPr>
        <w:tc>
          <w:tcPr>
            <w:tcW w:w="5954" w:type="dxa"/>
            <w:shd w:val="clear" w:color="auto" w:fill="auto"/>
          </w:tcPr>
          <w:p w:rsidR="00D66945" w:rsidRPr="007828C4" w:rsidRDefault="00D66945" w:rsidP="00A33453">
            <w:pPr>
              <w:rPr>
                <w:rFonts w:eastAsia="Arial Unicode MS" w:cs="Arial"/>
                <w:sz w:val="20"/>
                <w:szCs w:val="22"/>
              </w:rPr>
            </w:pPr>
            <w:r>
              <w:rPr>
                <w:rFonts w:eastAsia="Arial Unicode MS" w:cs="Arial"/>
                <w:sz w:val="20"/>
                <w:szCs w:val="22"/>
              </w:rPr>
              <w:t>Chief Executive and Director of Resources*</w:t>
            </w:r>
          </w:p>
        </w:tc>
        <w:tc>
          <w:tcPr>
            <w:tcW w:w="2303" w:type="dxa"/>
            <w:shd w:val="clear" w:color="auto" w:fill="auto"/>
          </w:tcPr>
          <w:p w:rsidR="00D66945" w:rsidRPr="007828C4" w:rsidRDefault="00D66945" w:rsidP="00A33453">
            <w:pPr>
              <w:jc w:val="center"/>
              <w:rPr>
                <w:rFonts w:eastAsia="Arial Unicode MS" w:cs="Arial"/>
                <w:sz w:val="20"/>
                <w:szCs w:val="22"/>
              </w:rPr>
            </w:pPr>
            <w:r>
              <w:rPr>
                <w:rFonts w:eastAsia="Arial Unicode MS" w:cs="Arial"/>
                <w:sz w:val="20"/>
                <w:szCs w:val="22"/>
              </w:rPr>
              <w:t>03/01/18 – 31/3/18</w:t>
            </w:r>
          </w:p>
        </w:tc>
        <w:tc>
          <w:tcPr>
            <w:tcW w:w="2304"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874</w:t>
            </w:r>
          </w:p>
        </w:tc>
        <w:tc>
          <w:tcPr>
            <w:tcW w:w="2303"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0</w:t>
            </w:r>
          </w:p>
        </w:tc>
        <w:tc>
          <w:tcPr>
            <w:tcW w:w="2304" w:type="dxa"/>
            <w:shd w:val="clear" w:color="auto" w:fill="auto"/>
          </w:tcPr>
          <w:p w:rsidR="00D66945" w:rsidRPr="007828C4" w:rsidRDefault="00D66945" w:rsidP="00A33453">
            <w:pPr>
              <w:jc w:val="right"/>
              <w:rPr>
                <w:rFonts w:eastAsia="Arial Unicode MS" w:cs="Arial"/>
                <w:sz w:val="20"/>
                <w:szCs w:val="22"/>
              </w:rPr>
            </w:pPr>
            <w:r>
              <w:rPr>
                <w:rFonts w:eastAsia="Arial Unicode MS" w:cs="Arial"/>
                <w:sz w:val="20"/>
                <w:szCs w:val="22"/>
              </w:rPr>
              <w:t>874</w:t>
            </w:r>
          </w:p>
        </w:tc>
      </w:tr>
    </w:tbl>
    <w:p w:rsidR="00D66945" w:rsidRPr="007828C4" w:rsidRDefault="00D66945" w:rsidP="00D66945">
      <w:pPr>
        <w:rPr>
          <w:rFonts w:eastAsia="Arial Unicode MS" w:cs="Arial"/>
          <w:sz w:val="22"/>
          <w:szCs w:val="22"/>
        </w:rPr>
      </w:pPr>
    </w:p>
    <w:tbl>
      <w:tblPr>
        <w:tblStyle w:val="TableGrid2"/>
        <w:tblW w:w="15168"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5954"/>
        <w:gridCol w:w="2303"/>
        <w:gridCol w:w="2304"/>
        <w:gridCol w:w="2303"/>
        <w:gridCol w:w="2304"/>
      </w:tblGrid>
      <w:tr w:rsidR="00D66945" w:rsidRPr="007828C4" w:rsidTr="00A33453">
        <w:trPr>
          <w:trHeight w:val="431"/>
        </w:trPr>
        <w:tc>
          <w:tcPr>
            <w:tcW w:w="5954" w:type="dxa"/>
            <w:tcBorders>
              <w:bottom w:val="nil"/>
            </w:tcBorders>
            <w:shd w:val="clear" w:color="auto" w:fill="E7E6E6" w:themeFill="background2"/>
          </w:tcPr>
          <w:p w:rsidR="00D66945" w:rsidRPr="007828C4" w:rsidRDefault="00D66945" w:rsidP="00A33453">
            <w:pPr>
              <w:rPr>
                <w:rFonts w:eastAsia="Arial Unicode MS" w:cs="Arial"/>
                <w:b/>
                <w:sz w:val="20"/>
                <w:szCs w:val="22"/>
              </w:rPr>
            </w:pPr>
            <w:r>
              <w:rPr>
                <w:rFonts w:eastAsia="Arial Unicode MS" w:cs="Arial"/>
                <w:b/>
                <w:sz w:val="20"/>
                <w:szCs w:val="22"/>
              </w:rPr>
              <w:t>2016/17</w:t>
            </w:r>
          </w:p>
        </w:tc>
        <w:tc>
          <w:tcPr>
            <w:tcW w:w="2303" w:type="dxa"/>
            <w:shd w:val="clear" w:color="auto" w:fill="E7E6E6" w:themeFill="background2"/>
          </w:tcPr>
          <w:p w:rsidR="00D66945" w:rsidRPr="007828C4" w:rsidRDefault="00D66945" w:rsidP="00A33453">
            <w:pPr>
              <w:jc w:val="center"/>
              <w:rPr>
                <w:rFonts w:eastAsia="Arial Unicode MS" w:cs="Arial"/>
                <w:b/>
                <w:sz w:val="20"/>
                <w:szCs w:val="22"/>
              </w:rPr>
            </w:pPr>
            <w:r w:rsidRPr="007828C4">
              <w:rPr>
                <w:rFonts w:eastAsia="Arial Unicode MS" w:cs="Arial"/>
                <w:b/>
                <w:sz w:val="20"/>
                <w:szCs w:val="22"/>
              </w:rPr>
              <w:t>Employment period</w:t>
            </w:r>
          </w:p>
        </w:tc>
        <w:tc>
          <w:tcPr>
            <w:tcW w:w="2304" w:type="dxa"/>
            <w:shd w:val="clear" w:color="auto" w:fill="E7E6E6" w:themeFill="background2"/>
          </w:tcPr>
          <w:p w:rsidR="00D66945" w:rsidRPr="007828C4" w:rsidRDefault="00D66945" w:rsidP="00A33453">
            <w:pPr>
              <w:jc w:val="center"/>
              <w:rPr>
                <w:rFonts w:eastAsia="Arial Unicode MS" w:cs="Arial"/>
                <w:b/>
                <w:sz w:val="20"/>
                <w:szCs w:val="22"/>
              </w:rPr>
            </w:pPr>
            <w:r w:rsidRPr="007828C4">
              <w:rPr>
                <w:rFonts w:eastAsia="Arial Unicode MS" w:cs="Arial"/>
                <w:b/>
                <w:sz w:val="20"/>
                <w:szCs w:val="22"/>
              </w:rPr>
              <w:t>Salary</w:t>
            </w:r>
            <w:r w:rsidRPr="007828C4">
              <w:rPr>
                <w:rFonts w:eastAsia="Arial Unicode MS" w:cs="Arial"/>
                <w:b/>
                <w:sz w:val="20"/>
                <w:szCs w:val="22"/>
                <w:vertAlign w:val="superscript"/>
              </w:rPr>
              <w:t>1</w:t>
            </w:r>
          </w:p>
        </w:tc>
        <w:tc>
          <w:tcPr>
            <w:tcW w:w="2303" w:type="dxa"/>
            <w:shd w:val="clear" w:color="auto" w:fill="E7E6E6" w:themeFill="background2"/>
          </w:tcPr>
          <w:p w:rsidR="00D66945" w:rsidRPr="007828C4" w:rsidRDefault="00D66945" w:rsidP="00A33453">
            <w:pPr>
              <w:jc w:val="center"/>
              <w:rPr>
                <w:rFonts w:eastAsia="Arial Unicode MS" w:cs="Arial"/>
                <w:b/>
                <w:sz w:val="20"/>
                <w:szCs w:val="22"/>
              </w:rPr>
            </w:pPr>
            <w:r>
              <w:rPr>
                <w:rFonts w:eastAsia="Arial Unicode MS" w:cs="Arial"/>
                <w:b/>
                <w:sz w:val="20"/>
                <w:szCs w:val="22"/>
              </w:rPr>
              <w:t>Employer p</w:t>
            </w:r>
            <w:r w:rsidRPr="007828C4">
              <w:rPr>
                <w:rFonts w:eastAsia="Arial Unicode MS" w:cs="Arial"/>
                <w:b/>
                <w:sz w:val="20"/>
                <w:szCs w:val="22"/>
              </w:rPr>
              <w:t>ension contributions</w:t>
            </w:r>
            <w:r w:rsidRPr="007828C4">
              <w:rPr>
                <w:rFonts w:eastAsia="Arial Unicode MS" w:cs="Arial"/>
                <w:b/>
                <w:sz w:val="20"/>
                <w:szCs w:val="22"/>
                <w:vertAlign w:val="superscript"/>
              </w:rPr>
              <w:t>1</w:t>
            </w:r>
          </w:p>
        </w:tc>
        <w:tc>
          <w:tcPr>
            <w:tcW w:w="2304" w:type="dxa"/>
            <w:shd w:val="clear" w:color="auto" w:fill="E7E6E6" w:themeFill="background2"/>
          </w:tcPr>
          <w:p w:rsidR="00D66945" w:rsidRPr="007828C4" w:rsidRDefault="00D66945" w:rsidP="00A33453">
            <w:pPr>
              <w:jc w:val="center"/>
              <w:rPr>
                <w:rFonts w:eastAsia="Arial Unicode MS" w:cs="Arial"/>
                <w:b/>
                <w:sz w:val="20"/>
                <w:szCs w:val="22"/>
              </w:rPr>
            </w:pPr>
            <w:r w:rsidRPr="007828C4">
              <w:rPr>
                <w:rFonts w:eastAsia="Arial Unicode MS" w:cs="Arial"/>
                <w:b/>
                <w:sz w:val="20"/>
                <w:szCs w:val="22"/>
              </w:rPr>
              <w:t>Total including pension contributions</w:t>
            </w:r>
            <w:r w:rsidRPr="007828C4">
              <w:rPr>
                <w:rFonts w:eastAsia="Arial Unicode MS" w:cs="Arial"/>
                <w:b/>
                <w:sz w:val="20"/>
                <w:szCs w:val="22"/>
                <w:vertAlign w:val="superscript"/>
              </w:rPr>
              <w:t>1</w:t>
            </w:r>
          </w:p>
        </w:tc>
      </w:tr>
      <w:tr w:rsidR="00D66945" w:rsidRPr="007828C4" w:rsidTr="00A33453">
        <w:trPr>
          <w:trHeight w:val="431"/>
        </w:trPr>
        <w:tc>
          <w:tcPr>
            <w:tcW w:w="5954" w:type="dxa"/>
            <w:tcBorders>
              <w:top w:val="nil"/>
            </w:tcBorders>
            <w:shd w:val="clear" w:color="auto" w:fill="E7E6E6" w:themeFill="background2"/>
          </w:tcPr>
          <w:p w:rsidR="00D66945" w:rsidRPr="007828C4" w:rsidRDefault="00D66945" w:rsidP="00A33453">
            <w:pPr>
              <w:jc w:val="right"/>
              <w:rPr>
                <w:rFonts w:eastAsia="Arial Unicode MS" w:cs="Arial"/>
                <w:b/>
                <w:sz w:val="20"/>
                <w:szCs w:val="22"/>
              </w:rPr>
            </w:pPr>
          </w:p>
        </w:tc>
        <w:tc>
          <w:tcPr>
            <w:tcW w:w="2303" w:type="dxa"/>
            <w:shd w:val="clear" w:color="auto" w:fill="E7E6E6" w:themeFill="background2"/>
          </w:tcPr>
          <w:p w:rsidR="00D66945" w:rsidRPr="007828C4" w:rsidRDefault="00D66945" w:rsidP="00A33453">
            <w:pPr>
              <w:jc w:val="right"/>
              <w:rPr>
                <w:rFonts w:eastAsia="Arial Unicode MS" w:cs="Arial"/>
                <w:b/>
                <w:sz w:val="20"/>
                <w:szCs w:val="22"/>
              </w:rPr>
            </w:pPr>
          </w:p>
        </w:tc>
        <w:tc>
          <w:tcPr>
            <w:tcW w:w="2304" w:type="dxa"/>
            <w:shd w:val="clear" w:color="auto" w:fill="E7E6E6" w:themeFill="background2"/>
          </w:tcPr>
          <w:p w:rsidR="00D66945" w:rsidRPr="007828C4" w:rsidRDefault="00D66945" w:rsidP="00A33453">
            <w:pPr>
              <w:jc w:val="right"/>
              <w:rPr>
                <w:rFonts w:eastAsia="Arial Unicode MS" w:cs="Arial"/>
                <w:b/>
                <w:sz w:val="20"/>
                <w:szCs w:val="22"/>
              </w:rPr>
            </w:pPr>
            <w:r w:rsidRPr="007828C4">
              <w:rPr>
                <w:rFonts w:eastAsia="Arial Unicode MS" w:cs="Arial"/>
                <w:b/>
                <w:sz w:val="20"/>
                <w:szCs w:val="22"/>
              </w:rPr>
              <w:t>£</w:t>
            </w:r>
          </w:p>
        </w:tc>
        <w:tc>
          <w:tcPr>
            <w:tcW w:w="2303" w:type="dxa"/>
            <w:shd w:val="clear" w:color="auto" w:fill="E7E6E6" w:themeFill="background2"/>
          </w:tcPr>
          <w:p w:rsidR="00D66945" w:rsidRPr="007828C4" w:rsidRDefault="00D66945" w:rsidP="00A33453">
            <w:pPr>
              <w:jc w:val="right"/>
              <w:rPr>
                <w:rFonts w:eastAsia="Arial Unicode MS" w:cs="Arial"/>
                <w:b/>
                <w:sz w:val="20"/>
                <w:szCs w:val="22"/>
              </w:rPr>
            </w:pPr>
            <w:r w:rsidRPr="007828C4">
              <w:rPr>
                <w:rFonts w:eastAsia="Arial Unicode MS" w:cs="Arial"/>
                <w:b/>
                <w:sz w:val="20"/>
                <w:szCs w:val="22"/>
              </w:rPr>
              <w:t>£</w:t>
            </w:r>
          </w:p>
        </w:tc>
        <w:tc>
          <w:tcPr>
            <w:tcW w:w="2304" w:type="dxa"/>
            <w:shd w:val="clear" w:color="auto" w:fill="E7E6E6" w:themeFill="background2"/>
          </w:tcPr>
          <w:p w:rsidR="00D66945" w:rsidRPr="007828C4" w:rsidRDefault="00D66945" w:rsidP="00A33453">
            <w:pPr>
              <w:jc w:val="right"/>
              <w:rPr>
                <w:rFonts w:eastAsia="Arial Unicode MS" w:cs="Arial"/>
                <w:b/>
                <w:sz w:val="20"/>
                <w:szCs w:val="22"/>
              </w:rPr>
            </w:pPr>
            <w:r w:rsidRPr="007828C4">
              <w:rPr>
                <w:rFonts w:eastAsia="Arial Unicode MS" w:cs="Arial"/>
                <w:b/>
                <w:sz w:val="20"/>
                <w:szCs w:val="22"/>
              </w:rPr>
              <w:t>£</w:t>
            </w:r>
          </w:p>
        </w:tc>
      </w:tr>
      <w:tr w:rsidR="00D66945" w:rsidRPr="007828C4" w:rsidTr="00A33453">
        <w:trPr>
          <w:trHeight w:val="431"/>
        </w:trPr>
        <w:tc>
          <w:tcPr>
            <w:tcW w:w="5954"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Head of Fund</w:t>
            </w:r>
          </w:p>
        </w:tc>
        <w:tc>
          <w:tcPr>
            <w:tcW w:w="2303" w:type="dxa"/>
            <w:shd w:val="clear" w:color="auto" w:fill="auto"/>
          </w:tcPr>
          <w:p w:rsidR="00D66945" w:rsidRPr="007828C4" w:rsidRDefault="00D66945" w:rsidP="00A33453">
            <w:pPr>
              <w:jc w:val="right"/>
              <w:rPr>
                <w:rFonts w:eastAsia="Arial Unicode MS" w:cs="Arial"/>
                <w:sz w:val="20"/>
                <w:szCs w:val="22"/>
              </w:rPr>
            </w:pPr>
            <w:r w:rsidRPr="007828C4">
              <w:rPr>
                <w:rFonts w:eastAsia="Arial Unicode MS" w:cs="Arial"/>
                <w:sz w:val="20"/>
                <w:szCs w:val="22"/>
              </w:rPr>
              <w:t>01/04/16 – 31/03/17</w:t>
            </w:r>
          </w:p>
        </w:tc>
        <w:tc>
          <w:tcPr>
            <w:tcW w:w="2304" w:type="dxa"/>
            <w:shd w:val="clear" w:color="auto" w:fill="auto"/>
          </w:tcPr>
          <w:p w:rsidR="00D66945" w:rsidRPr="007828C4" w:rsidRDefault="00D66945" w:rsidP="00A33453">
            <w:pPr>
              <w:jc w:val="right"/>
              <w:rPr>
                <w:rFonts w:eastAsia="Arial Unicode MS" w:cs="Arial"/>
                <w:sz w:val="20"/>
                <w:szCs w:val="22"/>
              </w:rPr>
            </w:pPr>
            <w:r w:rsidRPr="007828C4">
              <w:rPr>
                <w:rFonts w:eastAsia="Arial Unicode MS" w:cs="Arial"/>
                <w:sz w:val="20"/>
                <w:szCs w:val="22"/>
              </w:rPr>
              <w:t>52,175</w:t>
            </w:r>
          </w:p>
        </w:tc>
        <w:tc>
          <w:tcPr>
            <w:tcW w:w="2303" w:type="dxa"/>
            <w:shd w:val="clear" w:color="auto" w:fill="auto"/>
          </w:tcPr>
          <w:p w:rsidR="00D66945" w:rsidRPr="007828C4" w:rsidRDefault="00D66945" w:rsidP="00A33453">
            <w:pPr>
              <w:jc w:val="right"/>
              <w:rPr>
                <w:rFonts w:eastAsia="Arial Unicode MS" w:cs="Arial"/>
                <w:sz w:val="20"/>
                <w:szCs w:val="22"/>
              </w:rPr>
            </w:pPr>
            <w:r w:rsidRPr="007828C4">
              <w:rPr>
                <w:rFonts w:eastAsia="Arial Unicode MS" w:cs="Arial"/>
                <w:sz w:val="20"/>
                <w:szCs w:val="22"/>
              </w:rPr>
              <w:t>6,664</w:t>
            </w:r>
          </w:p>
        </w:tc>
        <w:tc>
          <w:tcPr>
            <w:tcW w:w="2304" w:type="dxa"/>
            <w:shd w:val="clear" w:color="auto" w:fill="auto"/>
          </w:tcPr>
          <w:p w:rsidR="00D66945" w:rsidRPr="007828C4" w:rsidRDefault="00D66945" w:rsidP="00A33453">
            <w:pPr>
              <w:jc w:val="right"/>
              <w:rPr>
                <w:rFonts w:eastAsia="Arial Unicode MS" w:cs="Arial"/>
                <w:sz w:val="20"/>
                <w:szCs w:val="22"/>
              </w:rPr>
            </w:pPr>
            <w:r w:rsidRPr="007828C4">
              <w:rPr>
                <w:rFonts w:eastAsia="Arial Unicode MS" w:cs="Arial"/>
                <w:sz w:val="20"/>
                <w:szCs w:val="22"/>
              </w:rPr>
              <w:t>58,839</w:t>
            </w:r>
          </w:p>
        </w:tc>
      </w:tr>
      <w:tr w:rsidR="00D66945" w:rsidRPr="007828C4" w:rsidTr="00A33453">
        <w:trPr>
          <w:trHeight w:val="431"/>
        </w:trPr>
        <w:tc>
          <w:tcPr>
            <w:tcW w:w="5954" w:type="dxa"/>
            <w:shd w:val="clear" w:color="auto" w:fill="auto"/>
          </w:tcPr>
          <w:p w:rsidR="00D66945" w:rsidRPr="007828C4" w:rsidRDefault="00D66945" w:rsidP="00A33453">
            <w:pPr>
              <w:rPr>
                <w:rFonts w:eastAsia="Arial Unicode MS" w:cs="Arial"/>
                <w:sz w:val="20"/>
                <w:szCs w:val="22"/>
              </w:rPr>
            </w:pPr>
            <w:r w:rsidRPr="007828C4">
              <w:rPr>
                <w:rFonts w:eastAsia="Arial Unicode MS" w:cs="Arial"/>
                <w:sz w:val="20"/>
                <w:szCs w:val="22"/>
              </w:rPr>
              <w:t xml:space="preserve">Director of Financial Resources </w:t>
            </w:r>
          </w:p>
        </w:tc>
        <w:tc>
          <w:tcPr>
            <w:tcW w:w="2303" w:type="dxa"/>
            <w:shd w:val="clear" w:color="auto" w:fill="auto"/>
          </w:tcPr>
          <w:p w:rsidR="00D66945" w:rsidRPr="007828C4" w:rsidRDefault="00D66945" w:rsidP="00A33453">
            <w:pPr>
              <w:jc w:val="right"/>
              <w:rPr>
                <w:rFonts w:eastAsia="Arial Unicode MS" w:cs="Arial"/>
                <w:sz w:val="20"/>
                <w:szCs w:val="22"/>
              </w:rPr>
            </w:pPr>
            <w:r w:rsidRPr="007828C4">
              <w:rPr>
                <w:rFonts w:eastAsia="Arial Unicode MS" w:cs="Arial"/>
                <w:sz w:val="20"/>
                <w:szCs w:val="22"/>
              </w:rPr>
              <w:t>01/04/16 – 31/03/17</w:t>
            </w:r>
          </w:p>
        </w:tc>
        <w:tc>
          <w:tcPr>
            <w:tcW w:w="2304" w:type="dxa"/>
            <w:shd w:val="clear" w:color="auto" w:fill="auto"/>
          </w:tcPr>
          <w:p w:rsidR="00D66945" w:rsidRPr="007828C4" w:rsidRDefault="00D66945" w:rsidP="00A33453">
            <w:pPr>
              <w:jc w:val="right"/>
              <w:rPr>
                <w:rFonts w:eastAsia="Arial Unicode MS" w:cs="Arial"/>
                <w:sz w:val="20"/>
                <w:szCs w:val="22"/>
              </w:rPr>
            </w:pPr>
            <w:r w:rsidRPr="007828C4">
              <w:rPr>
                <w:rFonts w:eastAsia="Arial Unicode MS" w:cs="Arial"/>
                <w:sz w:val="20"/>
                <w:szCs w:val="22"/>
              </w:rPr>
              <w:t>4,732</w:t>
            </w:r>
          </w:p>
        </w:tc>
        <w:tc>
          <w:tcPr>
            <w:tcW w:w="2303" w:type="dxa"/>
            <w:shd w:val="clear" w:color="auto" w:fill="auto"/>
          </w:tcPr>
          <w:p w:rsidR="00D66945" w:rsidRPr="007828C4" w:rsidRDefault="00D66945" w:rsidP="00A33453">
            <w:pPr>
              <w:jc w:val="right"/>
              <w:rPr>
                <w:rFonts w:eastAsia="Arial Unicode MS" w:cs="Arial"/>
                <w:sz w:val="20"/>
                <w:szCs w:val="22"/>
              </w:rPr>
            </w:pPr>
            <w:r w:rsidRPr="007828C4">
              <w:rPr>
                <w:rFonts w:eastAsia="Arial Unicode MS" w:cs="Arial"/>
                <w:sz w:val="20"/>
                <w:szCs w:val="22"/>
              </w:rPr>
              <w:t>563</w:t>
            </w:r>
          </w:p>
        </w:tc>
        <w:tc>
          <w:tcPr>
            <w:tcW w:w="2304" w:type="dxa"/>
            <w:shd w:val="clear" w:color="auto" w:fill="auto"/>
          </w:tcPr>
          <w:p w:rsidR="00D66945" w:rsidRPr="007828C4" w:rsidRDefault="00D66945" w:rsidP="00A33453">
            <w:pPr>
              <w:jc w:val="right"/>
              <w:rPr>
                <w:rFonts w:eastAsia="Arial Unicode MS" w:cs="Arial"/>
                <w:sz w:val="20"/>
                <w:szCs w:val="22"/>
              </w:rPr>
            </w:pPr>
            <w:r w:rsidRPr="007828C4">
              <w:rPr>
                <w:rFonts w:eastAsia="Arial Unicode MS" w:cs="Arial"/>
                <w:sz w:val="20"/>
                <w:szCs w:val="22"/>
              </w:rPr>
              <w:t>5,295</w:t>
            </w:r>
          </w:p>
        </w:tc>
      </w:tr>
    </w:tbl>
    <w:p w:rsidR="00D66945" w:rsidRPr="00FB63AB" w:rsidRDefault="00D66945" w:rsidP="00D66945">
      <w:pPr>
        <w:rPr>
          <w:rFonts w:eastAsia="Arial Unicode MS" w:cs="Arial"/>
          <w:sz w:val="20"/>
          <w:szCs w:val="20"/>
        </w:rPr>
      </w:pPr>
      <w:r w:rsidRPr="007828C4">
        <w:rPr>
          <w:rFonts w:eastAsia="Arial Unicode MS" w:cs="Arial"/>
          <w:sz w:val="18"/>
          <w:szCs w:val="18"/>
          <w:vertAlign w:val="superscript"/>
        </w:rPr>
        <w:t xml:space="preserve">1 </w:t>
      </w:r>
      <w:r w:rsidRPr="00FB63AB">
        <w:rPr>
          <w:rFonts w:eastAsia="Arial Unicode MS" w:cs="Arial"/>
          <w:sz w:val="20"/>
          <w:szCs w:val="20"/>
        </w:rPr>
        <w:t xml:space="preserve">The remuneration amount has been apportioned to the Fund on the basis of time spent on Fund work. </w:t>
      </w:r>
    </w:p>
    <w:p w:rsidR="00D66945" w:rsidRPr="00FB63AB" w:rsidRDefault="00D66945" w:rsidP="00D66945">
      <w:pPr>
        <w:rPr>
          <w:rFonts w:eastAsia="Arial Unicode MS" w:cs="Arial"/>
          <w:sz w:val="20"/>
          <w:szCs w:val="20"/>
        </w:rPr>
      </w:pPr>
    </w:p>
    <w:p w:rsidR="00D66945" w:rsidRPr="00FB63AB" w:rsidRDefault="00D66945" w:rsidP="00D66945">
      <w:pPr>
        <w:rPr>
          <w:rFonts w:eastAsia="Arial Unicode MS" w:cs="Arial"/>
          <w:sz w:val="20"/>
          <w:szCs w:val="20"/>
        </w:rPr>
      </w:pPr>
      <w:r w:rsidRPr="00FB63AB">
        <w:rPr>
          <w:rFonts w:eastAsia="Arial Unicode MS" w:cs="Arial"/>
          <w:sz w:val="20"/>
          <w:szCs w:val="20"/>
        </w:rPr>
        <w:t>*The Chief Executive and Director of Resources is a new post and was appointed on 3 January 2018.</w:t>
      </w:r>
    </w:p>
    <w:p w:rsidR="00D66945" w:rsidRPr="00FB63AB" w:rsidRDefault="00D66945" w:rsidP="00D66945">
      <w:pPr>
        <w:ind w:left="720"/>
        <w:rPr>
          <w:rFonts w:eastAsia="Arial Unicode MS" w:cs="Arial"/>
          <w:sz w:val="20"/>
          <w:szCs w:val="20"/>
        </w:rPr>
      </w:pPr>
    </w:p>
    <w:p w:rsidR="00D66945" w:rsidRPr="007828C4" w:rsidRDefault="00D66945" w:rsidP="00D66945">
      <w:pPr>
        <w:ind w:left="720"/>
        <w:rPr>
          <w:rFonts w:eastAsia="Arial Unicode MS" w:cs="Arial"/>
          <w:sz w:val="22"/>
          <w:szCs w:val="22"/>
        </w:rPr>
      </w:pPr>
    </w:p>
    <w:p w:rsidR="00D66945" w:rsidRPr="007828C4" w:rsidRDefault="00D66945" w:rsidP="00D66945">
      <w:pPr>
        <w:ind w:left="720"/>
        <w:rPr>
          <w:rFonts w:eastAsia="Arial Unicode MS" w:cs="Arial"/>
          <w:sz w:val="22"/>
          <w:szCs w:val="22"/>
        </w:rPr>
        <w:sectPr w:rsidR="00D66945" w:rsidRPr="007828C4" w:rsidSect="00A33453">
          <w:headerReference w:type="even" r:id="rId35"/>
          <w:headerReference w:type="default" r:id="rId36"/>
          <w:footerReference w:type="default" r:id="rId37"/>
          <w:headerReference w:type="first" r:id="rId38"/>
          <w:pgSz w:w="16840" w:h="11900" w:orient="landscape" w:code="9"/>
          <w:pgMar w:top="1191" w:right="862" w:bottom="1111" w:left="862" w:header="567" w:footer="567" w:gutter="0"/>
          <w:cols w:space="292"/>
          <w:docGrid w:linePitch="326"/>
        </w:sectPr>
      </w:pPr>
    </w:p>
    <w:p w:rsidR="00B4441A" w:rsidRPr="00FB63AB" w:rsidRDefault="00B4441A" w:rsidP="00B4441A">
      <w:pPr>
        <w:ind w:left="720"/>
        <w:rPr>
          <w:rFonts w:eastAsia="Arial Unicode MS" w:cs="Arial"/>
          <w:sz w:val="20"/>
          <w:szCs w:val="20"/>
        </w:rPr>
      </w:pPr>
    </w:p>
    <w:p w:rsidR="00B4441A" w:rsidRPr="007828C4" w:rsidRDefault="00B4441A" w:rsidP="00B4441A">
      <w:pPr>
        <w:ind w:left="720"/>
        <w:rPr>
          <w:rFonts w:eastAsia="Arial Unicode MS" w:cs="Arial"/>
          <w:sz w:val="22"/>
          <w:szCs w:val="22"/>
        </w:rPr>
      </w:pPr>
    </w:p>
    <w:p w:rsidR="00B4441A" w:rsidRDefault="00B4441A" w:rsidP="00B4441A">
      <w:pPr>
        <w:widowControl w:val="0"/>
        <w:tabs>
          <w:tab w:val="num" w:pos="862"/>
        </w:tabs>
        <w:suppressAutoHyphens/>
        <w:contextualSpacing/>
        <w:rPr>
          <w:rFonts w:eastAsia="Arial Unicode MS" w:cs="Arial"/>
          <w:b/>
          <w:sz w:val="32"/>
          <w:szCs w:val="22"/>
        </w:rPr>
      </w:pPr>
      <w:r w:rsidRPr="007828C4">
        <w:rPr>
          <w:rFonts w:eastAsia="Arial Unicode MS" w:cs="Arial"/>
          <w:b/>
          <w:sz w:val="32"/>
          <w:szCs w:val="22"/>
        </w:rPr>
        <w:t>2</w:t>
      </w:r>
      <w:r>
        <w:rPr>
          <w:rFonts w:eastAsia="Arial Unicode MS" w:cs="Arial"/>
          <w:b/>
          <w:sz w:val="32"/>
          <w:szCs w:val="22"/>
        </w:rPr>
        <w:t>4</w:t>
      </w:r>
      <w:r w:rsidRPr="007828C4">
        <w:rPr>
          <w:rFonts w:eastAsia="Arial Unicode MS" w:cs="Arial"/>
          <w:b/>
          <w:sz w:val="32"/>
          <w:szCs w:val="22"/>
        </w:rPr>
        <w:t>. FUNDING ARRANGEMENTS</w:t>
      </w:r>
    </w:p>
    <w:p w:rsidR="00B117A5" w:rsidRDefault="00B117A5" w:rsidP="00B4441A">
      <w:pPr>
        <w:widowControl w:val="0"/>
        <w:tabs>
          <w:tab w:val="num" w:pos="862"/>
        </w:tabs>
        <w:suppressAutoHyphens/>
        <w:contextualSpacing/>
        <w:rPr>
          <w:rFonts w:eastAsia="Arial Unicode MS" w:cs="Arial"/>
          <w:b/>
          <w:sz w:val="32"/>
          <w:szCs w:val="22"/>
        </w:rPr>
      </w:pPr>
    </w:p>
    <w:p w:rsidR="00B117A5" w:rsidRPr="007828C4" w:rsidRDefault="00B117A5" w:rsidP="00B117A5">
      <w:pPr>
        <w:keepNext/>
        <w:spacing w:line="300" w:lineRule="atLeast"/>
        <w:outlineLvl w:val="2"/>
        <w:rPr>
          <w:rFonts w:eastAsia="Arial Unicode MS" w:cs="Arial"/>
          <w:b/>
          <w:snapToGrid w:val="0"/>
          <w:sz w:val="32"/>
          <w:szCs w:val="22"/>
        </w:rPr>
      </w:pPr>
      <w:r w:rsidRPr="007828C4">
        <w:rPr>
          <w:rFonts w:eastAsia="Arial Unicode MS" w:cs="Arial"/>
          <w:b/>
          <w:snapToGrid w:val="0"/>
          <w:sz w:val="32"/>
          <w:szCs w:val="22"/>
        </w:rPr>
        <w:t>Accounts for the year ended 31 March 201</w:t>
      </w:r>
      <w:r>
        <w:rPr>
          <w:rFonts w:eastAsia="Arial Unicode MS" w:cs="Arial"/>
          <w:b/>
          <w:snapToGrid w:val="0"/>
          <w:sz w:val="32"/>
          <w:szCs w:val="22"/>
        </w:rPr>
        <w:t>8</w:t>
      </w:r>
      <w:r w:rsidRPr="007828C4">
        <w:rPr>
          <w:rFonts w:eastAsia="Arial Unicode MS" w:cs="Arial"/>
          <w:b/>
          <w:snapToGrid w:val="0"/>
          <w:sz w:val="32"/>
          <w:szCs w:val="22"/>
        </w:rPr>
        <w:t xml:space="preserve"> - Statement by the Consulting Actuary</w:t>
      </w:r>
    </w:p>
    <w:p w:rsidR="00B117A5" w:rsidRPr="007828C4" w:rsidRDefault="00B117A5" w:rsidP="00B117A5">
      <w:pPr>
        <w:rPr>
          <w:rFonts w:eastAsia="Arial Unicode MS" w:cs="Arial"/>
          <w:sz w:val="22"/>
          <w:szCs w:val="22"/>
        </w:rPr>
      </w:pPr>
    </w:p>
    <w:p w:rsidR="00B117A5" w:rsidRPr="00225AC5" w:rsidRDefault="00B117A5" w:rsidP="00B117A5">
      <w:pPr>
        <w:rPr>
          <w:rFonts w:cs="Arial"/>
          <w:noProof/>
          <w:sz w:val="22"/>
          <w:szCs w:val="22"/>
          <w:lang w:eastAsia="en-GB"/>
        </w:rPr>
      </w:pPr>
      <w:r w:rsidRPr="00225AC5">
        <w:rPr>
          <w:rFonts w:cs="Arial"/>
          <w:noProof/>
          <w:sz w:val="22"/>
          <w:szCs w:val="22"/>
          <w:lang w:eastAsia="en-GB"/>
        </w:rPr>
        <w:t>This statement has been provided to meet the requirements under Regulation 57(1)(d) of The Local Government Pension Scheme Regulations 2013.</w:t>
      </w:r>
    </w:p>
    <w:p w:rsidR="00B117A5" w:rsidRPr="00225AC5" w:rsidRDefault="00B117A5" w:rsidP="00B117A5">
      <w:pPr>
        <w:rPr>
          <w:rFonts w:cs="Arial"/>
          <w:noProof/>
          <w:sz w:val="22"/>
          <w:szCs w:val="22"/>
          <w:lang w:eastAsia="en-GB"/>
        </w:rPr>
      </w:pPr>
    </w:p>
    <w:p w:rsidR="00B117A5" w:rsidRPr="00B117A5" w:rsidRDefault="00B117A5" w:rsidP="00B117A5">
      <w:pPr>
        <w:rPr>
          <w:rFonts w:cs="Arial"/>
          <w:noProof/>
          <w:color w:val="auto"/>
          <w:sz w:val="22"/>
          <w:szCs w:val="22"/>
          <w:lang w:eastAsia="en-GB"/>
        </w:rPr>
      </w:pPr>
      <w:r w:rsidRPr="00225AC5">
        <w:rPr>
          <w:rFonts w:cs="Arial"/>
          <w:noProof/>
          <w:sz w:val="22"/>
          <w:szCs w:val="22"/>
          <w:lang w:eastAsia="en-GB"/>
        </w:rPr>
        <w:t>An actuarial valuation of the Lancashire County Pension Fund was carried out as at 31 March 2016 to determine the contribution rates with effect from 1 April 2017 to 31 March 2020.</w:t>
      </w:r>
    </w:p>
    <w:p w:rsidR="00B117A5" w:rsidRPr="00B117A5" w:rsidRDefault="00B117A5" w:rsidP="00B117A5">
      <w:pPr>
        <w:rPr>
          <w:rFonts w:cs="Arial"/>
          <w:noProof/>
          <w:color w:val="auto"/>
          <w:sz w:val="22"/>
          <w:szCs w:val="22"/>
          <w:lang w:eastAsia="en-GB"/>
        </w:rPr>
      </w:pPr>
    </w:p>
    <w:p w:rsidR="00B117A5" w:rsidRPr="00B117A5" w:rsidRDefault="00B117A5" w:rsidP="00B117A5">
      <w:pPr>
        <w:pStyle w:val="Header"/>
        <w:spacing w:after="240"/>
        <w:rPr>
          <w:rFonts w:cs="Arial"/>
          <w:color w:val="auto"/>
        </w:rPr>
      </w:pPr>
      <w:r w:rsidRPr="00B117A5">
        <w:rPr>
          <w:rFonts w:cs="Arial"/>
          <w:color w:val="auto"/>
        </w:rPr>
        <w:t>On the basis of the assumptions adopted, the Fund’s assets of £6,036 million represented 90% of the Fund’s past service liabilities of £6,726 million (the “Funding Target”) at the valuation date. The deficit at the valuation was therefore £690 million.</w:t>
      </w:r>
    </w:p>
    <w:p w:rsidR="00B117A5" w:rsidRPr="00B117A5" w:rsidRDefault="00B117A5" w:rsidP="00B117A5">
      <w:pPr>
        <w:pStyle w:val="Header"/>
        <w:spacing w:after="240"/>
        <w:rPr>
          <w:rFonts w:cs="Arial"/>
          <w:color w:val="auto"/>
        </w:rPr>
      </w:pPr>
      <w:r w:rsidRPr="00B117A5">
        <w:rPr>
          <w:rFonts w:cs="Arial"/>
          <w:noProof/>
          <w:color w:val="auto"/>
          <w:lang w:eastAsia="en-GB"/>
        </w:rPr>
        <w:drawing>
          <wp:inline distT="0" distB="0" distL="0" distR="0" wp14:anchorId="58C4E5EB" wp14:editId="14B54D27">
            <wp:extent cx="512699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6990" cy="2743200"/>
                    </a:xfrm>
                    <a:prstGeom prst="rect">
                      <a:avLst/>
                    </a:prstGeom>
                    <a:noFill/>
                  </pic:spPr>
                </pic:pic>
              </a:graphicData>
            </a:graphic>
          </wp:inline>
        </w:drawing>
      </w:r>
    </w:p>
    <w:p w:rsidR="00B117A5" w:rsidRPr="00B117A5" w:rsidRDefault="00B117A5" w:rsidP="00B117A5">
      <w:pPr>
        <w:pStyle w:val="Header"/>
        <w:spacing w:after="240"/>
        <w:rPr>
          <w:rFonts w:cs="Arial"/>
          <w:color w:val="auto"/>
        </w:rPr>
      </w:pPr>
      <w:r w:rsidRPr="00B117A5">
        <w:rPr>
          <w:rFonts w:cs="Arial"/>
          <w:color w:val="auto"/>
        </w:rPr>
        <w:t xml:space="preserve">The valuation also showed that a Primary contribution rate of 14.9% of pensionable pay per annum was required from employers. The Primary rate is calculated as being sufficient, together with contributions paid by members, to meet all liabilities arising in respect of service after the valuation date. </w:t>
      </w:r>
    </w:p>
    <w:p w:rsidR="00B117A5" w:rsidRPr="00B117A5" w:rsidRDefault="00B117A5" w:rsidP="00B117A5">
      <w:pPr>
        <w:pStyle w:val="Header"/>
        <w:spacing w:after="240"/>
        <w:rPr>
          <w:rFonts w:cs="Arial"/>
          <w:color w:val="auto"/>
        </w:rPr>
      </w:pPr>
      <w:r w:rsidRPr="00B117A5">
        <w:rPr>
          <w:rFonts w:cs="Arial"/>
          <w:color w:val="auto"/>
        </w:rPr>
        <w:t>The funding objective as set out in the Funding Strategy Statement (FSS) is to achieve and then maintain a solvency funding level of 100% of liabilities (the solvency funding target).  In line with the FSS, where a shortfall exists at the effective date of the valuation a deficit recovery plan will be put in place which requires additional contributions to correct the shortfall (or contribution reductions to refund any surplus).</w:t>
      </w:r>
    </w:p>
    <w:p w:rsidR="00B117A5" w:rsidRPr="00B117A5" w:rsidRDefault="00B117A5" w:rsidP="00B117A5">
      <w:pPr>
        <w:pStyle w:val="Header"/>
        <w:spacing w:after="240"/>
        <w:rPr>
          <w:rFonts w:cs="Arial"/>
          <w:color w:val="auto"/>
        </w:rPr>
      </w:pPr>
      <w:r w:rsidRPr="00B117A5">
        <w:rPr>
          <w:rFonts w:cs="Arial"/>
          <w:noProof/>
          <w:color w:val="auto"/>
          <w:lang w:eastAsia="en-GB"/>
        </w:rPr>
        <w:br w:type="page"/>
        <w:t>The</w:t>
      </w:r>
      <w:r w:rsidRPr="00B117A5">
        <w:rPr>
          <w:rFonts w:cs="Arial"/>
          <w:color w:val="auto"/>
        </w:rPr>
        <w:t xml:space="preserve"> FSS sets out the process for determining the recovery plan in respect of each employer.  At this actuarial valuation the average deficit recovery period is </w:t>
      </w:r>
      <w:r w:rsidRPr="00B117A5">
        <w:rPr>
          <w:rFonts w:cs="Arial"/>
          <w:noProof/>
          <w:color w:val="auto"/>
        </w:rPr>
        <w:t>16</w:t>
      </w:r>
      <w:r w:rsidRPr="00B117A5">
        <w:rPr>
          <w:rFonts w:cs="Arial"/>
          <w:color w:val="auto"/>
        </w:rPr>
        <w:t xml:space="preserve"> years, and the total initial recovery payment (the “Secondary rate”) for 2018/19 is approximately £43 </w:t>
      </w:r>
      <w:r w:rsidRPr="00B117A5">
        <w:rPr>
          <w:rFonts w:cs="Arial"/>
          <w:noProof/>
          <w:color w:val="auto"/>
        </w:rPr>
        <w:t xml:space="preserve">million. </w:t>
      </w:r>
      <w:r w:rsidRPr="00B117A5">
        <w:rPr>
          <w:rFonts w:cs="Arial"/>
          <w:color w:val="auto"/>
        </w:rPr>
        <w:t>The Secondary rate of the employer’s contribution is an adjustment to the Primary rate to arrive at the overall rate the employers are required to pay. For most employers, the Secondary rate will increase at 3.7% per annum.  Finally, some employers have opted to prepay their contributions, either on an annual basis each April or by paying all 3 years’ contributions in April 2017.  In each case, that contribution is reduced to reflect its earlier payment.</w:t>
      </w:r>
    </w:p>
    <w:p w:rsidR="00B117A5" w:rsidRPr="00B117A5" w:rsidRDefault="00B117A5" w:rsidP="00B117A5">
      <w:pPr>
        <w:rPr>
          <w:rFonts w:cs="Arial"/>
          <w:noProof/>
          <w:color w:val="auto"/>
          <w:sz w:val="22"/>
          <w:szCs w:val="22"/>
          <w:lang w:eastAsia="en-GB"/>
        </w:rPr>
      </w:pPr>
      <w:r w:rsidRPr="00B117A5">
        <w:rPr>
          <w:rFonts w:cs="Arial"/>
          <w:noProof/>
          <w:color w:val="auto"/>
          <w:sz w:val="22"/>
          <w:szCs w:val="22"/>
          <w:lang w:eastAsia="en-GB"/>
        </w:rPr>
        <w:t xml:space="preserve">Further details regarding the results of the valuation are contained in the formal report on the actuarial valuation dated 31 March 2017. </w:t>
      </w:r>
    </w:p>
    <w:p w:rsidR="00B117A5" w:rsidRPr="00B117A5" w:rsidRDefault="00B117A5" w:rsidP="00B117A5">
      <w:pPr>
        <w:rPr>
          <w:rFonts w:cs="Arial"/>
          <w:color w:val="auto"/>
          <w:sz w:val="22"/>
          <w:szCs w:val="22"/>
        </w:rPr>
      </w:pPr>
    </w:p>
    <w:p w:rsidR="00B117A5" w:rsidRPr="00B117A5" w:rsidRDefault="00B117A5" w:rsidP="00B117A5">
      <w:pPr>
        <w:pStyle w:val="Header"/>
        <w:spacing w:after="240"/>
        <w:rPr>
          <w:rFonts w:cs="Arial"/>
          <w:color w:val="auto"/>
        </w:rPr>
      </w:pPr>
      <w:r w:rsidRPr="00B117A5">
        <w:rPr>
          <w:rFonts w:cs="Arial"/>
          <w:color w:val="auto"/>
        </w:rPr>
        <w:t>In practice, each individual employer’s position is assessed separately and the contributions required are set out in the report. In addition to the certified contribution rates, payments to cover additional liabilities arising from early retirements (other than ill-health retirements) will be made to the Fund by the employers.</w:t>
      </w:r>
    </w:p>
    <w:p w:rsidR="00B117A5" w:rsidRPr="00B117A5" w:rsidRDefault="00B117A5" w:rsidP="00B117A5">
      <w:pPr>
        <w:pStyle w:val="Header"/>
        <w:spacing w:after="240"/>
        <w:rPr>
          <w:rFonts w:cs="Arial"/>
          <w:color w:val="auto"/>
        </w:rPr>
      </w:pPr>
      <w:r w:rsidRPr="00B117A5">
        <w:rPr>
          <w:rFonts w:cs="Arial"/>
          <w:color w:val="auto"/>
        </w:rPr>
        <w:t xml:space="preserve">The funding plan adopted in assessing the contributions for each individual employer is in accordance with the Funding Strategy Statement (FSS). Any different approaches adopted, e.g. with regard to the implementation of contribution increases and deficit recovery periods, are as determined through the FSS consultation process. </w:t>
      </w:r>
    </w:p>
    <w:p w:rsidR="00B117A5" w:rsidRPr="00B117A5" w:rsidRDefault="00B117A5" w:rsidP="00B117A5">
      <w:pPr>
        <w:pStyle w:val="Header"/>
        <w:rPr>
          <w:rFonts w:cs="Arial"/>
          <w:color w:val="auto"/>
        </w:rPr>
      </w:pPr>
      <w:r w:rsidRPr="00B117A5">
        <w:rPr>
          <w:rFonts w:cs="Arial"/>
          <w:color w:val="auto"/>
        </w:rPr>
        <w:t>The valuation was carried out using the projected unit actuarial method and the main actuarial assumptions used for assessing the Funding Target and the Primary rate of contribution were as follows:</w:t>
      </w:r>
    </w:p>
    <w:p w:rsidR="00B117A5" w:rsidRPr="00B117A5" w:rsidRDefault="00B117A5" w:rsidP="00B117A5">
      <w:pPr>
        <w:pStyle w:val="Header"/>
        <w:rPr>
          <w:rFonts w:cs="Arial"/>
          <w:color w:val="auto"/>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2" w:type="dxa"/>
          <w:right w:w="72" w:type="dxa"/>
        </w:tblCellMar>
        <w:tblLook w:val="0000" w:firstRow="0" w:lastRow="0" w:firstColumn="0" w:lastColumn="0" w:noHBand="0" w:noVBand="0"/>
      </w:tblPr>
      <w:tblGrid>
        <w:gridCol w:w="4217"/>
        <w:gridCol w:w="2245"/>
        <w:gridCol w:w="2565"/>
      </w:tblGrid>
      <w:tr w:rsidR="00B117A5" w:rsidRPr="00B117A5" w:rsidTr="00B117A5">
        <w:trPr>
          <w:cantSplit/>
          <w:tblHeader/>
        </w:trPr>
        <w:tc>
          <w:tcPr>
            <w:tcW w:w="4217" w:type="dxa"/>
            <w:shd w:val="clear" w:color="auto" w:fill="002C77"/>
            <w:vAlign w:val="bottom"/>
          </w:tcPr>
          <w:p w:rsidR="00B117A5" w:rsidRPr="00B117A5" w:rsidRDefault="00B117A5" w:rsidP="00B117A5">
            <w:pPr>
              <w:pStyle w:val="TableHeadingText"/>
              <w:rPr>
                <w:sz w:val="22"/>
                <w:szCs w:val="22"/>
              </w:rPr>
            </w:pPr>
          </w:p>
        </w:tc>
        <w:tc>
          <w:tcPr>
            <w:tcW w:w="2245" w:type="dxa"/>
            <w:shd w:val="clear" w:color="auto" w:fill="002C77"/>
            <w:vAlign w:val="bottom"/>
          </w:tcPr>
          <w:p w:rsidR="00B117A5" w:rsidRPr="00B117A5" w:rsidRDefault="00B117A5" w:rsidP="00B117A5">
            <w:pPr>
              <w:pStyle w:val="TableHeadingText"/>
              <w:rPr>
                <w:sz w:val="22"/>
                <w:szCs w:val="22"/>
              </w:rPr>
            </w:pPr>
            <w:r w:rsidRPr="00B117A5">
              <w:rPr>
                <w:sz w:val="22"/>
                <w:szCs w:val="22"/>
              </w:rPr>
              <w:t>For past service liabilities (Funding Target)</w:t>
            </w:r>
          </w:p>
        </w:tc>
        <w:tc>
          <w:tcPr>
            <w:tcW w:w="2565" w:type="dxa"/>
            <w:shd w:val="clear" w:color="auto" w:fill="002C77"/>
            <w:vAlign w:val="bottom"/>
          </w:tcPr>
          <w:p w:rsidR="00B117A5" w:rsidRPr="00B117A5" w:rsidRDefault="00B117A5" w:rsidP="00B117A5">
            <w:pPr>
              <w:pStyle w:val="TableHeadingText"/>
              <w:rPr>
                <w:sz w:val="22"/>
                <w:szCs w:val="22"/>
              </w:rPr>
            </w:pPr>
            <w:r w:rsidRPr="00B117A5">
              <w:rPr>
                <w:sz w:val="22"/>
                <w:szCs w:val="22"/>
              </w:rPr>
              <w:t>For future service liabilities (Primary rate of contribution)</w:t>
            </w:r>
          </w:p>
        </w:tc>
      </w:tr>
      <w:tr w:rsidR="00B117A5" w:rsidRPr="00B117A5" w:rsidTr="00B117A5">
        <w:trPr>
          <w:cantSplit/>
        </w:trPr>
        <w:tc>
          <w:tcPr>
            <w:tcW w:w="4217" w:type="dxa"/>
            <w:shd w:val="clear" w:color="auto" w:fill="F2F2F2"/>
          </w:tcPr>
          <w:p w:rsidR="00B117A5" w:rsidRPr="00B117A5" w:rsidRDefault="00B117A5" w:rsidP="00B117A5">
            <w:pPr>
              <w:pStyle w:val="TableText"/>
              <w:rPr>
                <w:sz w:val="22"/>
                <w:szCs w:val="22"/>
              </w:rPr>
            </w:pPr>
            <w:r w:rsidRPr="00B117A5">
              <w:rPr>
                <w:sz w:val="22"/>
                <w:szCs w:val="22"/>
              </w:rPr>
              <w:t>Rate of return on investments (discount rate)</w:t>
            </w:r>
          </w:p>
          <w:p w:rsidR="00B117A5" w:rsidRPr="00841D7C" w:rsidRDefault="00B117A5" w:rsidP="00B117A5">
            <w:pPr>
              <w:pStyle w:val="TableText"/>
              <w:spacing w:before="0" w:after="0"/>
              <w:rPr>
                <w:sz w:val="22"/>
                <w:szCs w:val="22"/>
              </w:rPr>
            </w:pPr>
          </w:p>
        </w:tc>
        <w:tc>
          <w:tcPr>
            <w:tcW w:w="2245" w:type="dxa"/>
            <w:shd w:val="clear" w:color="auto" w:fill="F2F2F2"/>
          </w:tcPr>
          <w:p w:rsidR="00B117A5" w:rsidRPr="00E77AAF" w:rsidRDefault="00B117A5" w:rsidP="00B117A5">
            <w:pPr>
              <w:pStyle w:val="TableText"/>
              <w:spacing w:before="0" w:after="0"/>
              <w:rPr>
                <w:sz w:val="22"/>
                <w:szCs w:val="22"/>
              </w:rPr>
            </w:pPr>
            <w:r w:rsidRPr="00E77AAF">
              <w:rPr>
                <w:sz w:val="22"/>
                <w:szCs w:val="22"/>
              </w:rPr>
              <w:t>4.4% per annum</w:t>
            </w:r>
          </w:p>
        </w:tc>
        <w:tc>
          <w:tcPr>
            <w:tcW w:w="2565" w:type="dxa"/>
            <w:shd w:val="clear" w:color="auto" w:fill="F2F2F2"/>
          </w:tcPr>
          <w:p w:rsidR="00B117A5" w:rsidRPr="00B117A5" w:rsidRDefault="00B117A5" w:rsidP="00B117A5">
            <w:pPr>
              <w:pStyle w:val="TableText"/>
              <w:spacing w:before="0" w:after="0"/>
              <w:rPr>
                <w:sz w:val="22"/>
                <w:szCs w:val="22"/>
              </w:rPr>
            </w:pPr>
            <w:r w:rsidRPr="00B117A5">
              <w:rPr>
                <w:sz w:val="22"/>
                <w:szCs w:val="22"/>
              </w:rPr>
              <w:t>4.95% per annum</w:t>
            </w:r>
          </w:p>
          <w:p w:rsidR="00B117A5" w:rsidRPr="00B117A5" w:rsidRDefault="00B117A5" w:rsidP="00B117A5">
            <w:pPr>
              <w:pStyle w:val="TableText"/>
              <w:spacing w:before="0" w:after="0"/>
              <w:rPr>
                <w:sz w:val="22"/>
                <w:szCs w:val="22"/>
              </w:rPr>
            </w:pPr>
          </w:p>
        </w:tc>
      </w:tr>
      <w:tr w:rsidR="00B117A5" w:rsidRPr="00B117A5" w:rsidTr="00B117A5">
        <w:trPr>
          <w:cantSplit/>
        </w:trPr>
        <w:tc>
          <w:tcPr>
            <w:tcW w:w="4217" w:type="dxa"/>
            <w:shd w:val="clear" w:color="auto" w:fill="F2F2F2"/>
          </w:tcPr>
          <w:p w:rsidR="00B117A5" w:rsidRPr="00B117A5" w:rsidRDefault="00B117A5" w:rsidP="00B117A5">
            <w:pPr>
              <w:pStyle w:val="TableText"/>
              <w:rPr>
                <w:sz w:val="22"/>
                <w:szCs w:val="22"/>
              </w:rPr>
            </w:pPr>
            <w:r w:rsidRPr="00B117A5">
              <w:rPr>
                <w:sz w:val="22"/>
                <w:szCs w:val="22"/>
              </w:rPr>
              <w:t>Rate of pay increases (long term)*</w:t>
            </w:r>
          </w:p>
        </w:tc>
        <w:tc>
          <w:tcPr>
            <w:tcW w:w="2245" w:type="dxa"/>
            <w:shd w:val="clear" w:color="auto" w:fill="F2F2F2"/>
          </w:tcPr>
          <w:p w:rsidR="00B117A5" w:rsidRPr="00B117A5" w:rsidRDefault="00B117A5" w:rsidP="00B117A5">
            <w:pPr>
              <w:pStyle w:val="TableText"/>
              <w:rPr>
                <w:sz w:val="22"/>
                <w:szCs w:val="22"/>
              </w:rPr>
            </w:pPr>
            <w:r w:rsidRPr="00B117A5">
              <w:rPr>
                <w:sz w:val="22"/>
                <w:szCs w:val="22"/>
              </w:rPr>
              <w:t>3.7% per annum</w:t>
            </w:r>
          </w:p>
        </w:tc>
        <w:tc>
          <w:tcPr>
            <w:tcW w:w="2565" w:type="dxa"/>
            <w:shd w:val="clear" w:color="auto" w:fill="F2F2F2"/>
          </w:tcPr>
          <w:p w:rsidR="00B117A5" w:rsidRPr="00841D7C" w:rsidRDefault="00B117A5" w:rsidP="00B117A5">
            <w:pPr>
              <w:pStyle w:val="TableText"/>
              <w:rPr>
                <w:sz w:val="22"/>
                <w:szCs w:val="22"/>
              </w:rPr>
            </w:pPr>
            <w:r w:rsidRPr="00841D7C">
              <w:rPr>
                <w:sz w:val="22"/>
                <w:szCs w:val="22"/>
              </w:rPr>
              <w:t>3.7% per annum</w:t>
            </w:r>
          </w:p>
        </w:tc>
      </w:tr>
      <w:tr w:rsidR="00B117A5" w:rsidRPr="00B117A5" w:rsidTr="00B117A5">
        <w:trPr>
          <w:cantSplit/>
        </w:trPr>
        <w:tc>
          <w:tcPr>
            <w:tcW w:w="4217" w:type="dxa"/>
            <w:shd w:val="clear" w:color="auto" w:fill="F2F2F2"/>
          </w:tcPr>
          <w:p w:rsidR="00B117A5" w:rsidRPr="00B117A5" w:rsidRDefault="00B117A5" w:rsidP="00B117A5">
            <w:pPr>
              <w:pStyle w:val="TableText"/>
              <w:spacing w:before="0" w:after="0"/>
              <w:rPr>
                <w:sz w:val="22"/>
                <w:szCs w:val="22"/>
              </w:rPr>
            </w:pPr>
            <w:r w:rsidRPr="00B117A5">
              <w:rPr>
                <w:sz w:val="22"/>
                <w:szCs w:val="22"/>
              </w:rPr>
              <w:t xml:space="preserve">Rate of increases in pensions </w:t>
            </w:r>
          </w:p>
          <w:p w:rsidR="00B117A5" w:rsidRPr="00B117A5" w:rsidRDefault="00B117A5" w:rsidP="00B117A5">
            <w:pPr>
              <w:pStyle w:val="TableText"/>
              <w:spacing w:before="0" w:after="0"/>
              <w:rPr>
                <w:sz w:val="22"/>
                <w:szCs w:val="22"/>
              </w:rPr>
            </w:pPr>
            <w:r w:rsidRPr="00B117A5">
              <w:rPr>
                <w:sz w:val="22"/>
                <w:szCs w:val="22"/>
              </w:rPr>
              <w:t xml:space="preserve">in payment (in excess of </w:t>
            </w:r>
          </w:p>
          <w:p w:rsidR="00B117A5" w:rsidRPr="00841D7C" w:rsidRDefault="00B117A5" w:rsidP="00B117A5">
            <w:pPr>
              <w:pStyle w:val="TableText"/>
              <w:spacing w:before="0" w:after="0"/>
              <w:rPr>
                <w:sz w:val="22"/>
                <w:szCs w:val="22"/>
              </w:rPr>
            </w:pPr>
            <w:r w:rsidRPr="00841D7C">
              <w:rPr>
                <w:sz w:val="22"/>
                <w:szCs w:val="22"/>
              </w:rPr>
              <w:t>Guaranteed Minimum Pension)</w:t>
            </w:r>
          </w:p>
        </w:tc>
        <w:tc>
          <w:tcPr>
            <w:tcW w:w="2245" w:type="dxa"/>
            <w:shd w:val="clear" w:color="auto" w:fill="F2F2F2"/>
            <w:vAlign w:val="center"/>
          </w:tcPr>
          <w:p w:rsidR="00B117A5" w:rsidRPr="00E77AAF" w:rsidRDefault="00B117A5" w:rsidP="00B117A5">
            <w:pPr>
              <w:pStyle w:val="TableText"/>
              <w:spacing w:before="0" w:after="0"/>
              <w:rPr>
                <w:sz w:val="22"/>
                <w:szCs w:val="22"/>
              </w:rPr>
            </w:pPr>
            <w:r w:rsidRPr="00E77AAF">
              <w:rPr>
                <w:sz w:val="22"/>
                <w:szCs w:val="22"/>
              </w:rPr>
              <w:t>2.2% per annum</w:t>
            </w:r>
          </w:p>
        </w:tc>
        <w:tc>
          <w:tcPr>
            <w:tcW w:w="2565" w:type="dxa"/>
            <w:shd w:val="clear" w:color="auto" w:fill="F2F2F2"/>
            <w:vAlign w:val="center"/>
          </w:tcPr>
          <w:p w:rsidR="00B117A5" w:rsidRPr="00B117A5" w:rsidRDefault="00B117A5" w:rsidP="00B117A5">
            <w:pPr>
              <w:pStyle w:val="TableText"/>
              <w:spacing w:before="0" w:after="0"/>
              <w:rPr>
                <w:sz w:val="22"/>
                <w:szCs w:val="22"/>
              </w:rPr>
            </w:pPr>
            <w:r w:rsidRPr="00B117A5">
              <w:rPr>
                <w:sz w:val="22"/>
                <w:szCs w:val="22"/>
              </w:rPr>
              <w:t>2.2% per annum</w:t>
            </w:r>
          </w:p>
        </w:tc>
      </w:tr>
    </w:tbl>
    <w:p w:rsidR="00B117A5" w:rsidRPr="00B117A5" w:rsidRDefault="00B117A5" w:rsidP="00B117A5">
      <w:pPr>
        <w:pStyle w:val="Header"/>
        <w:spacing w:after="240"/>
        <w:rPr>
          <w:rFonts w:cs="Arial"/>
          <w:color w:val="auto"/>
        </w:rPr>
      </w:pPr>
      <w:r w:rsidRPr="00B117A5">
        <w:rPr>
          <w:rFonts w:cs="Arial"/>
          <w:color w:val="auto"/>
        </w:rPr>
        <w:t>* allowance was also made for short-term public sector pay restraint over a 4 year period.</w:t>
      </w:r>
    </w:p>
    <w:p w:rsidR="00B117A5" w:rsidRPr="00B117A5" w:rsidRDefault="00B117A5" w:rsidP="00B117A5">
      <w:pPr>
        <w:pStyle w:val="Header"/>
        <w:spacing w:after="240"/>
        <w:rPr>
          <w:rFonts w:cs="Arial"/>
          <w:color w:val="auto"/>
        </w:rPr>
      </w:pPr>
      <w:r w:rsidRPr="00B117A5">
        <w:rPr>
          <w:rFonts w:cs="Arial"/>
          <w:color w:val="auto"/>
        </w:rPr>
        <w:t>The assets were assessed at market value.</w:t>
      </w:r>
    </w:p>
    <w:p w:rsidR="00B117A5" w:rsidRPr="00B117A5" w:rsidRDefault="00B117A5" w:rsidP="00B117A5">
      <w:pPr>
        <w:pStyle w:val="Header"/>
        <w:rPr>
          <w:rFonts w:cs="Arial"/>
          <w:color w:val="auto"/>
        </w:rPr>
      </w:pPr>
      <w:r w:rsidRPr="00B117A5">
        <w:rPr>
          <w:rFonts w:cs="Arial"/>
          <w:color w:val="auto"/>
        </w:rPr>
        <w:t>The next triennial actuarial valuation of the Fund is due as at 31 March 2019. Based on the results of this valuation, the contribution rates payable by the individual employers will be revised with effect from 1 April 2020.</w:t>
      </w:r>
    </w:p>
    <w:p w:rsidR="00B117A5" w:rsidRPr="00B117A5" w:rsidRDefault="00B117A5" w:rsidP="00B117A5">
      <w:pPr>
        <w:ind w:left="567"/>
        <w:rPr>
          <w:rFonts w:eastAsia="Arial Unicode MS" w:cs="Arial"/>
          <w:color w:val="auto"/>
          <w:sz w:val="22"/>
          <w:szCs w:val="22"/>
        </w:rPr>
      </w:pPr>
      <w:r w:rsidRPr="00B117A5">
        <w:rPr>
          <w:rFonts w:cs="Arial"/>
          <w:b/>
          <w:color w:val="auto"/>
        </w:rPr>
        <w:br w:type="page"/>
      </w:r>
    </w:p>
    <w:p w:rsidR="00B117A5" w:rsidRPr="007828C4" w:rsidRDefault="00B117A5" w:rsidP="00B117A5">
      <w:pPr>
        <w:rPr>
          <w:rFonts w:eastAsia="Arial Unicode MS" w:cs="Arial"/>
          <w:b/>
          <w:sz w:val="32"/>
          <w:szCs w:val="22"/>
        </w:rPr>
      </w:pPr>
      <w:r w:rsidRPr="007828C4">
        <w:rPr>
          <w:rFonts w:eastAsia="Arial Unicode MS" w:cs="Arial"/>
          <w:b/>
          <w:sz w:val="32"/>
          <w:szCs w:val="22"/>
        </w:rPr>
        <w:t>2</w:t>
      </w:r>
      <w:r>
        <w:rPr>
          <w:rFonts w:eastAsia="Arial Unicode MS" w:cs="Arial"/>
          <w:b/>
          <w:sz w:val="32"/>
          <w:szCs w:val="22"/>
        </w:rPr>
        <w:t>5</w:t>
      </w:r>
      <w:r w:rsidRPr="007828C4">
        <w:rPr>
          <w:rFonts w:eastAsia="Arial Unicode MS" w:cs="Arial"/>
          <w:b/>
          <w:sz w:val="32"/>
          <w:szCs w:val="22"/>
        </w:rPr>
        <w:t xml:space="preserve">. ACTUARIAL PRESENT VALUE OF PROMISED RETIREMENT BENEFITS </w:t>
      </w:r>
    </w:p>
    <w:p w:rsidR="00B117A5" w:rsidRPr="00B117A5" w:rsidRDefault="00B117A5" w:rsidP="00B117A5">
      <w:pPr>
        <w:ind w:left="567"/>
        <w:rPr>
          <w:rFonts w:eastAsia="Arial Unicode MS" w:cs="Arial"/>
          <w:color w:val="auto"/>
          <w:sz w:val="22"/>
          <w:szCs w:val="22"/>
        </w:rPr>
      </w:pPr>
    </w:p>
    <w:p w:rsidR="00B117A5" w:rsidRPr="00B117A5" w:rsidRDefault="00B117A5" w:rsidP="00B117A5">
      <w:pPr>
        <w:pStyle w:val="Header"/>
        <w:rPr>
          <w:rFonts w:cs="Arial"/>
          <w:color w:val="auto"/>
        </w:rPr>
      </w:pPr>
      <w:r w:rsidRPr="00B117A5">
        <w:rPr>
          <w:rFonts w:cs="Arial"/>
          <w:color w:val="auto"/>
        </w:rPr>
        <w:t>IAS 26 requires the present value of the Fund’s promised retirement benefits to be disclosed, and for this purpose the actuarial assumptions and methodology used should be based on IAS 19 rather than the assumptions and methodology used for funding purposes.</w:t>
      </w:r>
    </w:p>
    <w:p w:rsidR="00B117A5" w:rsidRPr="00B117A5" w:rsidRDefault="00B117A5" w:rsidP="00B117A5">
      <w:pPr>
        <w:pStyle w:val="Header"/>
        <w:rPr>
          <w:rFonts w:cs="Arial"/>
          <w:color w:val="auto"/>
        </w:rPr>
      </w:pPr>
    </w:p>
    <w:p w:rsidR="00B117A5" w:rsidRPr="00B117A5" w:rsidRDefault="00B117A5" w:rsidP="00B117A5">
      <w:pPr>
        <w:pStyle w:val="Header"/>
        <w:rPr>
          <w:rFonts w:cs="Arial"/>
          <w:color w:val="auto"/>
        </w:rPr>
      </w:pPr>
      <w:r w:rsidRPr="00B117A5">
        <w:rPr>
          <w:rFonts w:cs="Arial"/>
          <w:color w:val="auto"/>
        </w:rPr>
        <w:t>To assess the value of the benefits on this basis, we have used the following financial assumptions as at 31 March 2018 (the 31 March 2017 assumptions are included for comparison):</w:t>
      </w:r>
    </w:p>
    <w:p w:rsidR="00B117A5" w:rsidRPr="00B117A5" w:rsidRDefault="00B117A5" w:rsidP="00B117A5">
      <w:pPr>
        <w:pStyle w:val="Header"/>
        <w:rPr>
          <w:rFonts w:cs="Arial"/>
          <w:color w:val="auto"/>
        </w:rPr>
      </w:pPr>
    </w:p>
    <w:tbl>
      <w:tblPr>
        <w:tblW w:w="0" w:type="auto"/>
        <w:tblInd w:w="108" w:type="dxa"/>
        <w:tblCellMar>
          <w:left w:w="0" w:type="dxa"/>
          <w:right w:w="0" w:type="dxa"/>
        </w:tblCellMar>
        <w:tblLook w:val="04A0" w:firstRow="1" w:lastRow="0" w:firstColumn="1" w:lastColumn="0" w:noHBand="0" w:noVBand="1"/>
      </w:tblPr>
      <w:tblGrid>
        <w:gridCol w:w="4239"/>
        <w:gridCol w:w="2223"/>
        <w:gridCol w:w="2565"/>
      </w:tblGrid>
      <w:tr w:rsidR="00B117A5" w:rsidRPr="00B117A5" w:rsidTr="00B117A5">
        <w:trPr>
          <w:cantSplit/>
          <w:tblHeader/>
        </w:trPr>
        <w:tc>
          <w:tcPr>
            <w:tcW w:w="4239" w:type="dxa"/>
            <w:tcBorders>
              <w:top w:val="nil"/>
              <w:left w:val="nil"/>
              <w:bottom w:val="single" w:sz="8" w:space="0" w:color="FFFFFF"/>
              <w:right w:val="nil"/>
            </w:tcBorders>
            <w:shd w:val="clear" w:color="auto" w:fill="002C77"/>
            <w:tcMar>
              <w:top w:w="0" w:type="dxa"/>
              <w:left w:w="72" w:type="dxa"/>
              <w:bottom w:w="0" w:type="dxa"/>
              <w:right w:w="72" w:type="dxa"/>
            </w:tcMar>
            <w:vAlign w:val="bottom"/>
          </w:tcPr>
          <w:p w:rsidR="00B117A5" w:rsidRPr="00B117A5" w:rsidRDefault="00B117A5" w:rsidP="00B117A5">
            <w:pPr>
              <w:pStyle w:val="TableHeadingText"/>
              <w:spacing w:line="276" w:lineRule="auto"/>
              <w:rPr>
                <w:sz w:val="22"/>
                <w:szCs w:val="22"/>
              </w:rPr>
            </w:pPr>
          </w:p>
        </w:tc>
        <w:tc>
          <w:tcPr>
            <w:tcW w:w="2223" w:type="dxa"/>
            <w:tcBorders>
              <w:top w:val="nil"/>
              <w:left w:val="nil"/>
              <w:bottom w:val="single" w:sz="8" w:space="0" w:color="FFFFFF"/>
              <w:right w:val="nil"/>
            </w:tcBorders>
            <w:shd w:val="clear" w:color="auto" w:fill="002C77"/>
            <w:tcMar>
              <w:top w:w="0" w:type="dxa"/>
              <w:left w:w="72" w:type="dxa"/>
              <w:bottom w:w="0" w:type="dxa"/>
              <w:right w:w="72" w:type="dxa"/>
            </w:tcMar>
            <w:vAlign w:val="bottom"/>
            <w:hideMark/>
          </w:tcPr>
          <w:p w:rsidR="00B117A5" w:rsidRPr="00B117A5" w:rsidRDefault="00B117A5" w:rsidP="00B117A5">
            <w:pPr>
              <w:pStyle w:val="TableHeadingText"/>
              <w:spacing w:line="276" w:lineRule="auto"/>
              <w:rPr>
                <w:sz w:val="22"/>
                <w:szCs w:val="22"/>
              </w:rPr>
            </w:pPr>
            <w:r w:rsidRPr="00B117A5">
              <w:rPr>
                <w:sz w:val="22"/>
                <w:szCs w:val="22"/>
              </w:rPr>
              <w:t>31 March 2017</w:t>
            </w:r>
          </w:p>
        </w:tc>
        <w:tc>
          <w:tcPr>
            <w:tcW w:w="2565" w:type="dxa"/>
            <w:tcBorders>
              <w:top w:val="nil"/>
              <w:left w:val="nil"/>
              <w:bottom w:val="single" w:sz="8" w:space="0" w:color="FFFFFF"/>
              <w:right w:val="nil"/>
            </w:tcBorders>
            <w:shd w:val="clear" w:color="auto" w:fill="002C77"/>
            <w:tcMar>
              <w:top w:w="0" w:type="dxa"/>
              <w:left w:w="72" w:type="dxa"/>
              <w:bottom w:w="0" w:type="dxa"/>
              <w:right w:w="72" w:type="dxa"/>
            </w:tcMar>
            <w:vAlign w:val="bottom"/>
            <w:hideMark/>
          </w:tcPr>
          <w:p w:rsidR="00B117A5" w:rsidRPr="00B117A5" w:rsidRDefault="00B117A5" w:rsidP="00B117A5">
            <w:pPr>
              <w:pStyle w:val="TableHeadingText"/>
              <w:spacing w:line="276" w:lineRule="auto"/>
              <w:rPr>
                <w:sz w:val="22"/>
                <w:szCs w:val="22"/>
              </w:rPr>
            </w:pPr>
            <w:r w:rsidRPr="00B117A5">
              <w:rPr>
                <w:sz w:val="22"/>
                <w:szCs w:val="22"/>
              </w:rPr>
              <w:t>31 March 2018</w:t>
            </w:r>
          </w:p>
        </w:tc>
      </w:tr>
      <w:tr w:rsidR="00B117A5" w:rsidRPr="00B117A5" w:rsidTr="00B117A5">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B117A5" w:rsidRPr="00B117A5" w:rsidRDefault="00B117A5" w:rsidP="00B117A5">
            <w:pPr>
              <w:pStyle w:val="TableText"/>
              <w:spacing w:line="276" w:lineRule="auto"/>
              <w:rPr>
                <w:sz w:val="22"/>
                <w:szCs w:val="22"/>
              </w:rPr>
            </w:pPr>
            <w:r w:rsidRPr="00B117A5">
              <w:rPr>
                <w:sz w:val="22"/>
                <w:szCs w:val="22"/>
              </w:rPr>
              <w:t>Rate of return on investments (discount rate)</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B117A5" w:rsidRPr="00B117A5" w:rsidRDefault="00B117A5" w:rsidP="00B117A5">
            <w:pPr>
              <w:pStyle w:val="TableText"/>
              <w:spacing w:before="0" w:after="0" w:line="276" w:lineRule="auto"/>
              <w:rPr>
                <w:sz w:val="22"/>
                <w:szCs w:val="22"/>
              </w:rPr>
            </w:pPr>
            <w:r w:rsidRPr="00B117A5">
              <w:rPr>
                <w:sz w:val="22"/>
                <w:szCs w:val="22"/>
              </w:rPr>
              <w:t>2.5%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B117A5" w:rsidRPr="00B117A5" w:rsidRDefault="00B117A5" w:rsidP="00B117A5">
            <w:pPr>
              <w:pStyle w:val="TableText"/>
              <w:spacing w:before="0" w:after="0" w:line="276" w:lineRule="auto"/>
              <w:rPr>
                <w:sz w:val="22"/>
                <w:szCs w:val="22"/>
              </w:rPr>
            </w:pPr>
            <w:r w:rsidRPr="00B117A5">
              <w:rPr>
                <w:sz w:val="22"/>
                <w:szCs w:val="22"/>
              </w:rPr>
              <w:t>2.6% per annum</w:t>
            </w:r>
          </w:p>
        </w:tc>
      </w:tr>
      <w:tr w:rsidR="00B117A5" w:rsidRPr="00B117A5" w:rsidTr="00B117A5">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tcPr>
          <w:p w:rsidR="00B117A5" w:rsidRPr="00B117A5" w:rsidRDefault="00B117A5" w:rsidP="00B117A5">
            <w:pPr>
              <w:pStyle w:val="TableText"/>
              <w:spacing w:line="276" w:lineRule="auto"/>
              <w:rPr>
                <w:sz w:val="22"/>
                <w:szCs w:val="22"/>
              </w:rPr>
            </w:pPr>
            <w:r w:rsidRPr="00B117A5">
              <w:rPr>
                <w:sz w:val="22"/>
                <w:szCs w:val="22"/>
              </w:rPr>
              <w:t>Rate of CPI Inflation / CARE Benefit revaluation</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tcPr>
          <w:p w:rsidR="00B117A5" w:rsidRPr="00B117A5" w:rsidRDefault="00B117A5" w:rsidP="00B117A5">
            <w:pPr>
              <w:pStyle w:val="TableText"/>
              <w:spacing w:before="0" w:after="0" w:line="276" w:lineRule="auto"/>
              <w:rPr>
                <w:sz w:val="22"/>
                <w:szCs w:val="22"/>
              </w:rPr>
            </w:pPr>
            <w:r w:rsidRPr="00B117A5">
              <w:rPr>
                <w:sz w:val="22"/>
                <w:szCs w:val="22"/>
              </w:rPr>
              <w:t>2.3%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tcPr>
          <w:p w:rsidR="00B117A5" w:rsidRPr="00B117A5" w:rsidRDefault="00B117A5" w:rsidP="00B117A5">
            <w:pPr>
              <w:pStyle w:val="TableText"/>
              <w:spacing w:before="0" w:after="0" w:line="276" w:lineRule="auto"/>
              <w:rPr>
                <w:sz w:val="22"/>
                <w:szCs w:val="22"/>
              </w:rPr>
            </w:pPr>
            <w:r w:rsidRPr="00B117A5">
              <w:rPr>
                <w:sz w:val="22"/>
                <w:szCs w:val="22"/>
              </w:rPr>
              <w:t>2.1% per annum</w:t>
            </w:r>
          </w:p>
        </w:tc>
      </w:tr>
      <w:tr w:rsidR="00B117A5" w:rsidRPr="00B117A5" w:rsidTr="00B117A5">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B117A5" w:rsidRPr="00B117A5" w:rsidRDefault="00B117A5" w:rsidP="00B117A5">
            <w:pPr>
              <w:pStyle w:val="TableText"/>
              <w:spacing w:line="276" w:lineRule="auto"/>
              <w:rPr>
                <w:sz w:val="22"/>
                <w:szCs w:val="22"/>
              </w:rPr>
            </w:pPr>
            <w:r w:rsidRPr="00B117A5">
              <w:rPr>
                <w:sz w:val="22"/>
                <w:szCs w:val="22"/>
              </w:rPr>
              <w:t>Rate of pay increases*</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B117A5" w:rsidRPr="00B117A5" w:rsidRDefault="00B117A5" w:rsidP="00B117A5">
            <w:pPr>
              <w:pStyle w:val="TableText"/>
              <w:spacing w:line="276" w:lineRule="auto"/>
              <w:rPr>
                <w:sz w:val="22"/>
                <w:szCs w:val="22"/>
              </w:rPr>
            </w:pPr>
            <w:r w:rsidRPr="00B117A5">
              <w:rPr>
                <w:sz w:val="22"/>
                <w:szCs w:val="22"/>
              </w:rPr>
              <w:t>3.8%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B117A5" w:rsidRPr="00B117A5" w:rsidRDefault="00B117A5" w:rsidP="00B117A5">
            <w:pPr>
              <w:pStyle w:val="TableText"/>
              <w:spacing w:line="276" w:lineRule="auto"/>
              <w:rPr>
                <w:sz w:val="22"/>
                <w:szCs w:val="22"/>
              </w:rPr>
            </w:pPr>
            <w:r w:rsidRPr="00B117A5">
              <w:rPr>
                <w:sz w:val="22"/>
                <w:szCs w:val="22"/>
              </w:rPr>
              <w:t>3.6% per annum</w:t>
            </w:r>
          </w:p>
        </w:tc>
      </w:tr>
      <w:tr w:rsidR="00B117A5" w:rsidRPr="00B117A5" w:rsidTr="00B117A5">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B117A5" w:rsidRPr="00B117A5" w:rsidRDefault="00B117A5" w:rsidP="00B117A5">
            <w:pPr>
              <w:pStyle w:val="TableText"/>
              <w:spacing w:before="0" w:after="0" w:line="276" w:lineRule="auto"/>
              <w:rPr>
                <w:rFonts w:eastAsia="Calibri"/>
                <w:sz w:val="22"/>
                <w:szCs w:val="22"/>
              </w:rPr>
            </w:pPr>
            <w:r w:rsidRPr="00B117A5">
              <w:rPr>
                <w:sz w:val="22"/>
                <w:szCs w:val="22"/>
              </w:rPr>
              <w:t xml:space="preserve">Rate of increases in pensions </w:t>
            </w:r>
          </w:p>
          <w:p w:rsidR="00B117A5" w:rsidRPr="00B117A5" w:rsidRDefault="00B117A5" w:rsidP="00B117A5">
            <w:pPr>
              <w:pStyle w:val="TableText"/>
              <w:spacing w:before="0" w:after="0" w:line="276" w:lineRule="auto"/>
              <w:rPr>
                <w:sz w:val="22"/>
                <w:szCs w:val="22"/>
              </w:rPr>
            </w:pPr>
            <w:r w:rsidRPr="00B117A5">
              <w:rPr>
                <w:sz w:val="22"/>
                <w:szCs w:val="22"/>
              </w:rPr>
              <w:t xml:space="preserve">in payment (in excess of </w:t>
            </w:r>
          </w:p>
          <w:p w:rsidR="00B117A5" w:rsidRPr="00B117A5" w:rsidRDefault="00B117A5" w:rsidP="00B117A5">
            <w:pPr>
              <w:pStyle w:val="TableText"/>
              <w:spacing w:before="0" w:after="0" w:line="276" w:lineRule="auto"/>
              <w:rPr>
                <w:sz w:val="22"/>
                <w:szCs w:val="22"/>
              </w:rPr>
            </w:pPr>
            <w:r w:rsidRPr="00B117A5">
              <w:rPr>
                <w:sz w:val="22"/>
                <w:szCs w:val="22"/>
              </w:rPr>
              <w:t>Guaranteed Minimum Pension) / Deferred revaluation</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vAlign w:val="center"/>
            <w:hideMark/>
          </w:tcPr>
          <w:p w:rsidR="00B117A5" w:rsidRPr="00B117A5" w:rsidRDefault="00B117A5" w:rsidP="00B117A5">
            <w:pPr>
              <w:pStyle w:val="TableText"/>
              <w:spacing w:before="0" w:after="0" w:line="276" w:lineRule="auto"/>
              <w:rPr>
                <w:sz w:val="22"/>
                <w:szCs w:val="22"/>
              </w:rPr>
            </w:pPr>
            <w:r w:rsidRPr="00B117A5">
              <w:rPr>
                <w:sz w:val="22"/>
                <w:szCs w:val="22"/>
              </w:rPr>
              <w:t>2.3%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vAlign w:val="center"/>
            <w:hideMark/>
          </w:tcPr>
          <w:p w:rsidR="00B117A5" w:rsidRPr="00B117A5" w:rsidRDefault="00B117A5" w:rsidP="00B117A5">
            <w:pPr>
              <w:pStyle w:val="TableText"/>
              <w:spacing w:before="0" w:after="0" w:line="276" w:lineRule="auto"/>
              <w:rPr>
                <w:sz w:val="22"/>
                <w:szCs w:val="22"/>
              </w:rPr>
            </w:pPr>
            <w:r w:rsidRPr="00B117A5">
              <w:rPr>
                <w:sz w:val="22"/>
                <w:szCs w:val="22"/>
              </w:rPr>
              <w:t>2.2% per annum</w:t>
            </w:r>
          </w:p>
        </w:tc>
      </w:tr>
    </w:tbl>
    <w:p w:rsidR="00B117A5" w:rsidRPr="00B117A5" w:rsidRDefault="00B117A5" w:rsidP="00B117A5">
      <w:pPr>
        <w:pStyle w:val="Header"/>
        <w:rPr>
          <w:rFonts w:cs="Arial"/>
          <w:color w:val="auto"/>
        </w:rPr>
      </w:pPr>
    </w:p>
    <w:p w:rsidR="00B117A5" w:rsidRPr="00B117A5" w:rsidRDefault="00B117A5" w:rsidP="00B117A5">
      <w:pPr>
        <w:pStyle w:val="Header"/>
        <w:rPr>
          <w:rFonts w:cs="Arial"/>
          <w:color w:val="auto"/>
        </w:rPr>
      </w:pPr>
    </w:p>
    <w:p w:rsidR="00B117A5" w:rsidRPr="00B117A5" w:rsidRDefault="00B117A5" w:rsidP="00B117A5">
      <w:pPr>
        <w:pStyle w:val="Header"/>
        <w:rPr>
          <w:rFonts w:cs="Arial"/>
          <w:color w:val="auto"/>
        </w:rPr>
      </w:pPr>
      <w:r w:rsidRPr="00B117A5">
        <w:rPr>
          <w:rFonts w:cs="Arial"/>
          <w:color w:val="auto"/>
        </w:rPr>
        <w:t>* includes a corresponding allowance to that made in the latest formal actuarial valuation for short-term public sector pay restraint.</w:t>
      </w:r>
    </w:p>
    <w:p w:rsidR="00B117A5" w:rsidRPr="00B117A5" w:rsidRDefault="00B117A5" w:rsidP="00B117A5">
      <w:pPr>
        <w:pStyle w:val="Header"/>
        <w:rPr>
          <w:rFonts w:cs="Arial"/>
          <w:color w:val="auto"/>
        </w:rPr>
      </w:pPr>
    </w:p>
    <w:p w:rsidR="00B117A5" w:rsidRPr="00B117A5" w:rsidRDefault="00B117A5" w:rsidP="00B117A5">
      <w:pPr>
        <w:pStyle w:val="Header"/>
        <w:rPr>
          <w:rFonts w:cs="Arial"/>
          <w:color w:val="auto"/>
        </w:rPr>
      </w:pPr>
      <w:r w:rsidRPr="00B117A5">
        <w:rPr>
          <w:rFonts w:cs="Arial"/>
          <w:color w:val="auto"/>
        </w:rPr>
        <w:t>The demographic assumptions are the same as those used for funding purposes. Full details of these assumptions are set out in the formal report on the actuarial valuation dated March 2017.</w:t>
      </w:r>
    </w:p>
    <w:p w:rsidR="00B117A5" w:rsidRPr="00B117A5" w:rsidRDefault="00B117A5" w:rsidP="00B117A5">
      <w:pPr>
        <w:pStyle w:val="Header"/>
        <w:rPr>
          <w:rFonts w:cs="Arial"/>
          <w:color w:val="auto"/>
        </w:rPr>
      </w:pPr>
    </w:p>
    <w:p w:rsidR="00B117A5" w:rsidRPr="00B117A5" w:rsidRDefault="00B117A5" w:rsidP="00B117A5">
      <w:pPr>
        <w:pStyle w:val="Header"/>
        <w:rPr>
          <w:rFonts w:cs="Arial"/>
          <w:color w:val="auto"/>
        </w:rPr>
      </w:pPr>
      <w:r w:rsidRPr="00B117A5">
        <w:rPr>
          <w:rFonts w:cs="Arial"/>
          <w:color w:val="auto"/>
        </w:rPr>
        <w:t xml:space="preserve">During the year, corporate bond yields rose slightly, resulting in a higher discount rate being used for IAS 26 purposes at the year-end than at the beginning of the year (2.6% p.a. versus 2.5% p.a.). The expected rate of long-term rate of CPI inflation decreased during the year, from 2.3% p.a. to 2.1%.  Both of these factors served to decrease the liabilities over the year. </w:t>
      </w:r>
    </w:p>
    <w:p w:rsidR="00B117A5" w:rsidRPr="00B117A5" w:rsidRDefault="00B117A5" w:rsidP="00B117A5">
      <w:pPr>
        <w:pStyle w:val="Header"/>
        <w:rPr>
          <w:rFonts w:cs="Arial"/>
          <w:color w:val="auto"/>
        </w:rPr>
      </w:pPr>
    </w:p>
    <w:p w:rsidR="00B117A5" w:rsidRPr="00B117A5" w:rsidRDefault="00B117A5" w:rsidP="00B117A5">
      <w:pPr>
        <w:rPr>
          <w:rFonts w:cs="Arial"/>
          <w:color w:val="auto"/>
          <w:sz w:val="22"/>
          <w:szCs w:val="22"/>
        </w:rPr>
      </w:pPr>
      <w:r w:rsidRPr="00B117A5">
        <w:rPr>
          <w:rFonts w:cs="Arial"/>
          <w:color w:val="auto"/>
          <w:sz w:val="22"/>
          <w:szCs w:val="22"/>
        </w:rPr>
        <w:t xml:space="preserve">The value of the Fund’s promised retirement benefits for the purposes of IAS 26 as at 31 March 2017 was estimated as £10,065 million.  Interest over the year increased the liabilities by c£253 million, and allowing for net benefits accrued/paid over the period also increased the liabilities by c£105 million (after allowing for any increase in liabilities arising as a result of early retirements/augmentations).  There was then a decrease in liabilities of £401 million due </w:t>
      </w:r>
      <w:r w:rsidR="00E77AAF" w:rsidRPr="00B117A5">
        <w:rPr>
          <w:rFonts w:cs="Arial"/>
          <w:color w:val="auto"/>
          <w:sz w:val="22"/>
          <w:szCs w:val="22"/>
        </w:rPr>
        <w:t>to “</w:t>
      </w:r>
      <w:r w:rsidRPr="00B117A5">
        <w:rPr>
          <w:rFonts w:cs="Arial"/>
          <w:color w:val="auto"/>
          <w:sz w:val="22"/>
          <w:szCs w:val="22"/>
        </w:rPr>
        <w:t xml:space="preserve">actuarial gains” (i.e. the effect of changes in the actuarial assumptions used, referred to above).  </w:t>
      </w:r>
    </w:p>
    <w:p w:rsidR="00B117A5" w:rsidRPr="00B117A5" w:rsidRDefault="00B117A5" w:rsidP="00B117A5">
      <w:pPr>
        <w:rPr>
          <w:rFonts w:cs="Arial"/>
          <w:color w:val="auto"/>
          <w:sz w:val="22"/>
          <w:szCs w:val="22"/>
        </w:rPr>
      </w:pPr>
    </w:p>
    <w:p w:rsidR="00B117A5" w:rsidRPr="00B117A5" w:rsidRDefault="00B117A5" w:rsidP="00B117A5">
      <w:pPr>
        <w:rPr>
          <w:rFonts w:cs="Arial"/>
          <w:color w:val="auto"/>
          <w:sz w:val="22"/>
          <w:szCs w:val="22"/>
        </w:rPr>
      </w:pPr>
      <w:r w:rsidRPr="00B117A5">
        <w:rPr>
          <w:rFonts w:cs="Arial"/>
          <w:color w:val="auto"/>
          <w:sz w:val="22"/>
          <w:szCs w:val="22"/>
        </w:rPr>
        <w:t>The net effect of all the above is that the estimated total value of the Fund’s promised retirement benefits as at 31 March 2018 is therefore £10,022 million.</w:t>
      </w:r>
    </w:p>
    <w:p w:rsidR="00B117A5" w:rsidRPr="00B117A5" w:rsidRDefault="00B117A5" w:rsidP="00B117A5">
      <w:pPr>
        <w:pStyle w:val="Header"/>
        <w:rPr>
          <w:rFonts w:cs="Arial"/>
          <w:b/>
          <w:color w:val="auto"/>
        </w:rPr>
      </w:pPr>
    </w:p>
    <w:p w:rsidR="00B117A5" w:rsidRPr="00B117A5" w:rsidRDefault="00B117A5" w:rsidP="00B117A5">
      <w:pPr>
        <w:rPr>
          <w:rFonts w:cs="Arial"/>
          <w:color w:val="auto"/>
          <w:sz w:val="22"/>
          <w:szCs w:val="22"/>
        </w:rPr>
      </w:pPr>
    </w:p>
    <w:p w:rsidR="00B117A5" w:rsidRPr="00B117A5" w:rsidRDefault="00B117A5" w:rsidP="00B117A5">
      <w:pPr>
        <w:pStyle w:val="Heading2"/>
        <w:rPr>
          <w:color w:val="auto"/>
          <w:sz w:val="22"/>
          <w:szCs w:val="22"/>
        </w:rPr>
      </w:pPr>
      <w:r w:rsidRPr="00B117A5">
        <w:rPr>
          <w:color w:val="auto"/>
          <w:sz w:val="22"/>
          <w:szCs w:val="22"/>
        </w:rPr>
        <w:t>John Livesey</w:t>
      </w:r>
      <w:r w:rsidRPr="00B117A5">
        <w:rPr>
          <w:color w:val="auto"/>
          <w:sz w:val="22"/>
          <w:szCs w:val="22"/>
        </w:rPr>
        <w:tab/>
      </w:r>
      <w:r w:rsidRPr="00B117A5">
        <w:rPr>
          <w:color w:val="auto"/>
          <w:sz w:val="22"/>
          <w:szCs w:val="22"/>
        </w:rPr>
        <w:tab/>
      </w:r>
      <w:r w:rsidRPr="00B117A5">
        <w:rPr>
          <w:color w:val="auto"/>
          <w:sz w:val="22"/>
          <w:szCs w:val="22"/>
        </w:rPr>
        <w:tab/>
      </w:r>
      <w:r w:rsidRPr="00B117A5">
        <w:rPr>
          <w:color w:val="auto"/>
          <w:sz w:val="22"/>
          <w:szCs w:val="22"/>
        </w:rPr>
        <w:tab/>
      </w:r>
      <w:r w:rsidRPr="00B117A5">
        <w:rPr>
          <w:color w:val="auto"/>
          <w:sz w:val="22"/>
          <w:szCs w:val="22"/>
        </w:rPr>
        <w:tab/>
      </w:r>
      <w:r w:rsidRPr="00B117A5">
        <w:rPr>
          <w:color w:val="auto"/>
          <w:sz w:val="22"/>
          <w:szCs w:val="22"/>
        </w:rPr>
        <w:tab/>
        <w:t>Mark Wilson</w:t>
      </w:r>
    </w:p>
    <w:p w:rsidR="00B117A5" w:rsidRPr="00B117A5" w:rsidRDefault="00532F58" w:rsidP="00532F58">
      <w:pPr>
        <w:pStyle w:val="Heading2"/>
        <w:jc w:val="left"/>
        <w:rPr>
          <w:color w:val="auto"/>
          <w:sz w:val="22"/>
          <w:szCs w:val="22"/>
        </w:rPr>
      </w:pPr>
      <w:r w:rsidRPr="00B117A5">
        <w:rPr>
          <w:color w:val="auto"/>
          <w:sz w:val="22"/>
          <w:szCs w:val="22"/>
        </w:rPr>
        <w:t xml:space="preserve">Fellow of the Institute and Faculty of </w:t>
      </w:r>
      <w:r>
        <w:rPr>
          <w:color w:val="auto"/>
          <w:sz w:val="22"/>
          <w:szCs w:val="22"/>
        </w:rPr>
        <w:t>Actuaries</w:t>
      </w:r>
      <w:r w:rsidR="00B117A5" w:rsidRPr="00B117A5">
        <w:rPr>
          <w:color w:val="auto"/>
          <w:sz w:val="22"/>
          <w:szCs w:val="22"/>
        </w:rPr>
        <w:tab/>
        <w:t xml:space="preserve">Fellow of the Institute and Faculty of </w:t>
      </w:r>
      <w:r w:rsidR="00841D7C">
        <w:rPr>
          <w:color w:val="auto"/>
          <w:sz w:val="22"/>
          <w:szCs w:val="22"/>
        </w:rPr>
        <w:t>Actuaries</w:t>
      </w:r>
    </w:p>
    <w:p w:rsidR="00B117A5" w:rsidRPr="00B117A5" w:rsidRDefault="00B117A5" w:rsidP="00B117A5">
      <w:pPr>
        <w:pStyle w:val="Heading2"/>
        <w:rPr>
          <w:color w:val="auto"/>
          <w:sz w:val="22"/>
          <w:szCs w:val="22"/>
        </w:rPr>
      </w:pPr>
      <w:r w:rsidRPr="00B117A5">
        <w:rPr>
          <w:color w:val="auto"/>
          <w:sz w:val="22"/>
          <w:szCs w:val="22"/>
        </w:rPr>
        <w:t>Mercer Limited</w:t>
      </w:r>
      <w:r w:rsidRPr="00B117A5">
        <w:rPr>
          <w:color w:val="auto"/>
          <w:sz w:val="22"/>
          <w:szCs w:val="22"/>
        </w:rPr>
        <w:tab/>
      </w:r>
      <w:r w:rsidRPr="00B117A5">
        <w:rPr>
          <w:color w:val="auto"/>
          <w:sz w:val="22"/>
          <w:szCs w:val="22"/>
        </w:rPr>
        <w:tab/>
      </w:r>
      <w:r w:rsidRPr="00B117A5">
        <w:rPr>
          <w:color w:val="auto"/>
          <w:sz w:val="22"/>
          <w:szCs w:val="22"/>
        </w:rPr>
        <w:tab/>
      </w:r>
      <w:r w:rsidRPr="00B117A5">
        <w:rPr>
          <w:color w:val="auto"/>
          <w:sz w:val="22"/>
          <w:szCs w:val="22"/>
        </w:rPr>
        <w:tab/>
      </w:r>
      <w:r w:rsidRPr="00B117A5">
        <w:rPr>
          <w:color w:val="auto"/>
          <w:sz w:val="22"/>
          <w:szCs w:val="22"/>
        </w:rPr>
        <w:tab/>
        <w:t>Mercer Limited</w:t>
      </w:r>
    </w:p>
    <w:p w:rsidR="00B117A5" w:rsidRPr="00B117A5" w:rsidRDefault="00B117A5" w:rsidP="00B117A5">
      <w:pPr>
        <w:rPr>
          <w:rFonts w:cs="Arial"/>
          <w:b/>
          <w:bCs/>
          <w:color w:val="auto"/>
          <w:sz w:val="22"/>
          <w:szCs w:val="22"/>
        </w:rPr>
      </w:pPr>
      <w:r w:rsidRPr="00B117A5">
        <w:rPr>
          <w:rFonts w:cs="Arial"/>
          <w:b/>
          <w:bCs/>
          <w:color w:val="auto"/>
          <w:sz w:val="22"/>
          <w:szCs w:val="22"/>
        </w:rPr>
        <w:t>May 2018</w:t>
      </w:r>
      <w:r w:rsidRPr="00B117A5">
        <w:rPr>
          <w:rFonts w:cs="Arial"/>
          <w:b/>
          <w:bCs/>
          <w:color w:val="auto"/>
          <w:sz w:val="22"/>
          <w:szCs w:val="22"/>
        </w:rPr>
        <w:tab/>
      </w:r>
      <w:r w:rsidRPr="00B117A5">
        <w:rPr>
          <w:rFonts w:cs="Arial"/>
          <w:b/>
          <w:bCs/>
          <w:color w:val="auto"/>
          <w:sz w:val="22"/>
          <w:szCs w:val="22"/>
        </w:rPr>
        <w:tab/>
      </w:r>
      <w:r w:rsidRPr="00B117A5">
        <w:rPr>
          <w:rFonts w:cs="Arial"/>
          <w:b/>
          <w:bCs/>
          <w:color w:val="auto"/>
          <w:sz w:val="22"/>
          <w:szCs w:val="22"/>
        </w:rPr>
        <w:tab/>
      </w:r>
      <w:r w:rsidRPr="00B117A5">
        <w:rPr>
          <w:rFonts w:cs="Arial"/>
          <w:b/>
          <w:bCs/>
          <w:color w:val="auto"/>
          <w:sz w:val="22"/>
          <w:szCs w:val="22"/>
        </w:rPr>
        <w:tab/>
      </w:r>
      <w:r w:rsidRPr="00B117A5">
        <w:rPr>
          <w:rFonts w:cs="Arial"/>
          <w:b/>
          <w:bCs/>
          <w:color w:val="auto"/>
          <w:sz w:val="22"/>
          <w:szCs w:val="22"/>
        </w:rPr>
        <w:tab/>
      </w:r>
      <w:r w:rsidRPr="00B117A5">
        <w:rPr>
          <w:rFonts w:cs="Arial"/>
          <w:b/>
          <w:bCs/>
          <w:color w:val="auto"/>
          <w:sz w:val="22"/>
          <w:szCs w:val="22"/>
        </w:rPr>
        <w:tab/>
        <w:t>May 2018</w:t>
      </w:r>
    </w:p>
    <w:p w:rsidR="00545968" w:rsidRDefault="00545968" w:rsidP="00B4441A">
      <w:pPr>
        <w:widowControl w:val="0"/>
        <w:tabs>
          <w:tab w:val="num" w:pos="862"/>
        </w:tabs>
        <w:suppressAutoHyphens/>
        <w:contextualSpacing/>
        <w:rPr>
          <w:rFonts w:eastAsia="Arial Unicode MS" w:cs="Arial"/>
          <w:b/>
          <w:sz w:val="32"/>
          <w:szCs w:val="22"/>
        </w:rPr>
      </w:pPr>
    </w:p>
    <w:p w:rsidR="00FF6F6A" w:rsidRPr="00E77AAF" w:rsidRDefault="0023599A" w:rsidP="00FF6F6A">
      <w:pPr>
        <w:spacing w:after="0"/>
        <w:rPr>
          <w:b/>
          <w:sz w:val="40"/>
          <w:szCs w:val="40"/>
        </w:rPr>
      </w:pPr>
      <w:bookmarkStart w:id="3" w:name="Note1"/>
      <w:bookmarkStart w:id="4" w:name="Independent_Audit"/>
      <w:bookmarkStart w:id="5" w:name="Responsibilities"/>
      <w:bookmarkStart w:id="6" w:name="Annual_Governance"/>
      <w:bookmarkEnd w:id="3"/>
      <w:bookmarkEnd w:id="4"/>
      <w:bookmarkEnd w:id="5"/>
      <w:bookmarkEnd w:id="6"/>
      <w:r w:rsidRPr="00E77AAF">
        <w:rPr>
          <w:b/>
          <w:sz w:val="40"/>
          <w:szCs w:val="40"/>
        </w:rPr>
        <w:t xml:space="preserve">H   Lancashire Local Pension Board </w:t>
      </w:r>
    </w:p>
    <w:p w:rsidR="00FF6F6A" w:rsidRPr="00E77AAF" w:rsidRDefault="0023599A" w:rsidP="00FF6F6A">
      <w:pPr>
        <w:spacing w:after="0"/>
        <w:ind w:firstLine="720"/>
        <w:rPr>
          <w:b/>
          <w:sz w:val="40"/>
          <w:szCs w:val="40"/>
        </w:rPr>
      </w:pPr>
      <w:r w:rsidRPr="00E77AAF">
        <w:rPr>
          <w:b/>
          <w:sz w:val="40"/>
          <w:szCs w:val="40"/>
        </w:rPr>
        <w:t xml:space="preserve">Annual Report - </w:t>
      </w:r>
      <w:r w:rsidR="007A2930" w:rsidRPr="00E77AAF">
        <w:rPr>
          <w:b/>
          <w:sz w:val="40"/>
          <w:szCs w:val="40"/>
        </w:rPr>
        <w:t>2017/18</w:t>
      </w:r>
    </w:p>
    <w:p w:rsidR="00FF6F6A" w:rsidRPr="00E77AAF" w:rsidRDefault="00FF6F6A" w:rsidP="00FF6F6A">
      <w:pPr>
        <w:spacing w:after="0"/>
        <w:ind w:firstLine="720"/>
        <w:rPr>
          <w:b/>
          <w:sz w:val="40"/>
          <w:szCs w:val="40"/>
        </w:rPr>
      </w:pPr>
    </w:p>
    <w:p w:rsidR="00E77AAF" w:rsidRDefault="00E77AAF" w:rsidP="00E77AAF">
      <w:pPr>
        <w:spacing w:after="0"/>
        <w:rPr>
          <w:rFonts w:cs="Arial"/>
        </w:rPr>
      </w:pPr>
      <w:r>
        <w:rPr>
          <w:rFonts w:cs="Arial"/>
        </w:rPr>
        <w:t xml:space="preserve">This is my third </w:t>
      </w:r>
      <w:r w:rsidRPr="00A143E3">
        <w:rPr>
          <w:rFonts w:cs="Arial"/>
        </w:rPr>
        <w:t>report as the</w:t>
      </w:r>
      <w:r>
        <w:rPr>
          <w:rFonts w:cs="Arial"/>
        </w:rPr>
        <w:t xml:space="preserve"> first </w:t>
      </w:r>
      <w:r w:rsidRPr="00A143E3">
        <w:rPr>
          <w:rFonts w:cs="Arial"/>
        </w:rPr>
        <w:t>Independent Chair of the Lancashire Local Pension Board (</w:t>
      </w:r>
      <w:r>
        <w:rPr>
          <w:rFonts w:cs="Arial"/>
        </w:rPr>
        <w:t>L</w:t>
      </w:r>
      <w:r w:rsidRPr="00A143E3">
        <w:rPr>
          <w:rFonts w:cs="Arial"/>
        </w:rPr>
        <w:t xml:space="preserve">LPB).  </w:t>
      </w:r>
      <w:r>
        <w:rPr>
          <w:rFonts w:cs="Arial"/>
        </w:rPr>
        <w:t>Last year</w:t>
      </w:r>
      <w:r w:rsidRPr="00A143E3">
        <w:rPr>
          <w:rFonts w:cs="Arial"/>
        </w:rPr>
        <w:t xml:space="preserve"> I commented </w:t>
      </w:r>
      <w:r>
        <w:rPr>
          <w:rFonts w:cs="Arial"/>
        </w:rPr>
        <w:t xml:space="preserve">that after two years’ operation </w:t>
      </w:r>
      <w:r w:rsidRPr="00A143E3">
        <w:rPr>
          <w:rFonts w:cs="Arial"/>
        </w:rPr>
        <w:t>as a Board we ha</w:t>
      </w:r>
      <w:r>
        <w:rPr>
          <w:rFonts w:cs="Arial"/>
        </w:rPr>
        <w:t>d</w:t>
      </w:r>
      <w:r w:rsidRPr="00A143E3">
        <w:rPr>
          <w:rFonts w:cs="Arial"/>
        </w:rPr>
        <w:t xml:space="preserve"> a much clearer view of our role</w:t>
      </w:r>
      <w:r>
        <w:rPr>
          <w:rFonts w:cs="Arial"/>
        </w:rPr>
        <w:t>,</w:t>
      </w:r>
      <w:r w:rsidRPr="00A143E3">
        <w:rPr>
          <w:rFonts w:cs="Arial"/>
        </w:rPr>
        <w:t xml:space="preserve"> and </w:t>
      </w:r>
      <w:r>
        <w:rPr>
          <w:rFonts w:cs="Arial"/>
        </w:rPr>
        <w:t xml:space="preserve">how we could both fulfil our duties and </w:t>
      </w:r>
      <w:r w:rsidRPr="00A143E3">
        <w:rPr>
          <w:rFonts w:cs="Arial"/>
        </w:rPr>
        <w:t>add value</w:t>
      </w:r>
      <w:r>
        <w:rPr>
          <w:rFonts w:cs="Arial"/>
        </w:rPr>
        <w:t>.  I noted three areas we expected to focus on in the interest of all our stakeholders, but particularly the employers and members whom we represent.  The first was to encourage appropriate governance procedures and monitoring of the London Pensions Partnership (LPP), the company which the Fund has set up together with the London Pension Fund Authority to manage their assets, liabilities and administration.  We need the assurance that it is at all times acting in the Fund’s interest.  Secondly, we asked the Pension Fund Committee (PFC) to provide us with comfort that the major changes LPP were proposing to the administration function would not involve any risk to the service.  Finally, we would continue to look at how to improve engagement with employers and members.</w:t>
      </w:r>
    </w:p>
    <w:p w:rsidR="00E77AAF" w:rsidRDefault="00E77AAF" w:rsidP="00E77AAF">
      <w:pPr>
        <w:spacing w:after="0"/>
        <w:rPr>
          <w:rFonts w:cs="Arial"/>
        </w:rPr>
      </w:pPr>
    </w:p>
    <w:p w:rsidR="00E77AAF" w:rsidRDefault="00E77AAF" w:rsidP="00E77AAF">
      <w:pPr>
        <w:spacing w:after="0"/>
        <w:rPr>
          <w:rFonts w:cs="Arial"/>
        </w:rPr>
      </w:pPr>
      <w:r>
        <w:rPr>
          <w:rFonts w:cs="Arial"/>
        </w:rPr>
        <w:t>In this report, I will start by reminding readers of the mechanics of the LLPB, then explain how we have fulfilled our legal duty of scrutiny, before going on to comment on each of the three areas above in more detail.</w:t>
      </w:r>
    </w:p>
    <w:p w:rsidR="00E77AAF" w:rsidRDefault="00E77AAF" w:rsidP="00E77AAF">
      <w:pPr>
        <w:spacing w:after="0"/>
        <w:rPr>
          <w:rFonts w:cs="Arial"/>
        </w:rPr>
      </w:pPr>
    </w:p>
    <w:p w:rsidR="00E77AAF" w:rsidRPr="006A5E1C" w:rsidRDefault="00E77AAF" w:rsidP="00E77AAF">
      <w:pPr>
        <w:spacing w:after="0"/>
        <w:rPr>
          <w:rFonts w:cs="Arial"/>
          <w:b/>
        </w:rPr>
      </w:pPr>
      <w:r w:rsidRPr="006A5E1C">
        <w:rPr>
          <w:rFonts w:cs="Arial"/>
          <w:b/>
        </w:rPr>
        <w:t>Membership of the Pension Board</w:t>
      </w:r>
    </w:p>
    <w:p w:rsidR="00E77AAF" w:rsidRDefault="00E77AAF" w:rsidP="00E77AAF">
      <w:pPr>
        <w:spacing w:after="0"/>
        <w:rPr>
          <w:rFonts w:cs="Arial"/>
        </w:rPr>
      </w:pPr>
    </w:p>
    <w:p w:rsidR="00E77AAF" w:rsidRDefault="00E77AAF" w:rsidP="00E77AAF">
      <w:pPr>
        <w:spacing w:after="0"/>
        <w:rPr>
          <w:rFonts w:cs="Arial"/>
        </w:rPr>
      </w:pPr>
      <w:r w:rsidRPr="00A143E3">
        <w:rPr>
          <w:rFonts w:cs="Arial"/>
        </w:rPr>
        <w:t xml:space="preserve">The </w:t>
      </w:r>
      <w:r>
        <w:rPr>
          <w:rFonts w:cs="Arial"/>
        </w:rPr>
        <w:t>LPB</w:t>
      </w:r>
      <w:r w:rsidRPr="00A143E3">
        <w:rPr>
          <w:rFonts w:cs="Arial"/>
        </w:rPr>
        <w:t xml:space="preserve"> has nine members, four Employer representatives who were chosen to be representative of the Fund’s </w:t>
      </w:r>
      <w:r>
        <w:rPr>
          <w:rFonts w:cs="Arial"/>
        </w:rPr>
        <w:t>e</w:t>
      </w:r>
      <w:r w:rsidRPr="00A143E3">
        <w:rPr>
          <w:rFonts w:cs="Arial"/>
        </w:rPr>
        <w:t xml:space="preserve">mployers, four </w:t>
      </w:r>
      <w:r>
        <w:rPr>
          <w:rFonts w:cs="Arial"/>
        </w:rPr>
        <w:t xml:space="preserve">Scheme </w:t>
      </w:r>
      <w:r w:rsidRPr="00A143E3">
        <w:rPr>
          <w:rFonts w:cs="Arial"/>
        </w:rPr>
        <w:t xml:space="preserve">Member representatives </w:t>
      </w:r>
      <w:r>
        <w:rPr>
          <w:rFonts w:cs="Arial"/>
        </w:rPr>
        <w:t xml:space="preserve">originally </w:t>
      </w:r>
      <w:r w:rsidRPr="00A143E3">
        <w:rPr>
          <w:rFonts w:cs="Arial"/>
        </w:rPr>
        <w:t xml:space="preserve">elected in a public election and myself as the Independent Chair.  </w:t>
      </w:r>
      <w:r>
        <w:rPr>
          <w:rFonts w:cs="Arial"/>
        </w:rPr>
        <w:t xml:space="preserve">During the year three members of the LLPB resigned and I would like to thank them all for their service during the first three years operation of the Board.  The two employer representatives have been replaced by County Councillor Christian Wakeford and Tony Pounder, and I welcome them both to the Board.  </w:t>
      </w:r>
    </w:p>
    <w:p w:rsidR="00E77AAF" w:rsidRDefault="00E77AAF" w:rsidP="00E77AAF">
      <w:pPr>
        <w:spacing w:after="0"/>
        <w:rPr>
          <w:rFonts w:cs="Arial"/>
        </w:rPr>
      </w:pPr>
    </w:p>
    <w:p w:rsidR="00E77AAF" w:rsidRDefault="00E77AAF" w:rsidP="00E77AAF">
      <w:pPr>
        <w:spacing w:after="0"/>
        <w:rPr>
          <w:rFonts w:cs="Arial"/>
        </w:rPr>
      </w:pPr>
      <w:r>
        <w:rPr>
          <w:rFonts w:cs="Arial"/>
        </w:rPr>
        <w:t>The vacant scheme member representative position was advertised by email and on the Your Pension Service website in March 2018.  When the LLPB was originally established, we held an election to fill the scheme member vacancies but this time we took the view that this was not a cost-effective way of filling a single vacancy, and that the categorisation of member representatives into active, deferred and pensioner classes was too restrictive.  The Terms of Reference of the Board have therefore been amended to refer to scheme members who will represent all elements of the Fund membership, giving us more flexibility and making it easier to attract/recruit candidates.  Since the year end, we have held interviews and a suitable candidate has been selected from a strong field and will be formally appointed in due course.</w:t>
      </w:r>
    </w:p>
    <w:p w:rsidR="00E77AAF" w:rsidRDefault="00E77AAF" w:rsidP="00E77AAF">
      <w:pPr>
        <w:spacing w:after="0"/>
        <w:rPr>
          <w:rFonts w:cs="Arial"/>
        </w:rPr>
      </w:pPr>
    </w:p>
    <w:p w:rsidR="00E77AAF" w:rsidRDefault="00E77AAF" w:rsidP="00E77AAF">
      <w:pPr>
        <w:spacing w:after="0"/>
        <w:rPr>
          <w:rFonts w:cs="Arial"/>
        </w:rPr>
      </w:pPr>
      <w:r>
        <w:rPr>
          <w:rFonts w:cs="Arial"/>
        </w:rPr>
        <w:t xml:space="preserve">The LLPB meets four times a year and we also create Working Groups if we feel they are needed.  In my capacity as Chair I am also on occasion invited to attend PFC meetings, to present reports and advise the Committee on the work of the Board and I have attended three out of the of the four Committees held during the year. </w:t>
      </w:r>
    </w:p>
    <w:p w:rsidR="00E77AAF" w:rsidRDefault="00E77AAF" w:rsidP="00E77AAF">
      <w:pPr>
        <w:spacing w:after="0"/>
        <w:rPr>
          <w:rFonts w:cs="Arial"/>
        </w:rPr>
      </w:pPr>
    </w:p>
    <w:p w:rsidR="00E77AAF" w:rsidRPr="006A5E1C" w:rsidRDefault="00E77AAF" w:rsidP="00E77AAF">
      <w:pPr>
        <w:spacing w:after="0"/>
        <w:rPr>
          <w:rFonts w:cs="Arial"/>
          <w:b/>
        </w:rPr>
      </w:pPr>
      <w:r w:rsidRPr="006A5E1C">
        <w:rPr>
          <w:rFonts w:cs="Arial"/>
          <w:b/>
        </w:rPr>
        <w:t>Attendance of Board members at meetings of the Pension Board</w:t>
      </w:r>
    </w:p>
    <w:p w:rsidR="00E77AAF" w:rsidRDefault="00E77AAF" w:rsidP="00E77AAF">
      <w:pPr>
        <w:spacing w:after="0"/>
        <w:rPr>
          <w:rFonts w:cs="Arial"/>
        </w:rPr>
      </w:pPr>
    </w:p>
    <w:p w:rsidR="00E77AAF" w:rsidRDefault="00E77AAF" w:rsidP="00E77AAF">
      <w:pPr>
        <w:spacing w:after="0"/>
        <w:rPr>
          <w:rFonts w:cs="Arial"/>
        </w:rPr>
      </w:pPr>
      <w:r>
        <w:rPr>
          <w:rFonts w:cs="Arial"/>
        </w:rPr>
        <w:t xml:space="preserve">Details of individual members' attendance at Board meetings together with changes to the membership of the Board are set out in Annex 'A' to this report. </w:t>
      </w:r>
    </w:p>
    <w:p w:rsidR="00E77AAF" w:rsidRDefault="00E77AAF" w:rsidP="00E77AAF">
      <w:pPr>
        <w:spacing w:after="0"/>
        <w:rPr>
          <w:rFonts w:cs="Arial"/>
        </w:rPr>
      </w:pPr>
    </w:p>
    <w:p w:rsidR="00E77AAF" w:rsidRDefault="00E77AAF" w:rsidP="00E77AAF">
      <w:pPr>
        <w:spacing w:after="0"/>
        <w:rPr>
          <w:rFonts w:cs="Arial"/>
          <w:b/>
        </w:rPr>
      </w:pPr>
    </w:p>
    <w:p w:rsidR="00E77AAF" w:rsidRDefault="00E77AAF" w:rsidP="00E77AAF">
      <w:pPr>
        <w:spacing w:after="0"/>
        <w:rPr>
          <w:rFonts w:cs="Arial"/>
          <w:b/>
        </w:rPr>
      </w:pPr>
    </w:p>
    <w:p w:rsidR="00E77AAF" w:rsidRDefault="00E77AAF" w:rsidP="00E77AAF">
      <w:pPr>
        <w:spacing w:after="0"/>
        <w:rPr>
          <w:rFonts w:cs="Arial"/>
          <w:b/>
        </w:rPr>
      </w:pPr>
    </w:p>
    <w:p w:rsidR="00E77AAF" w:rsidRDefault="00E77AAF" w:rsidP="00E77AAF">
      <w:pPr>
        <w:spacing w:after="0"/>
        <w:rPr>
          <w:rFonts w:cs="Arial"/>
          <w:b/>
        </w:rPr>
      </w:pPr>
    </w:p>
    <w:p w:rsidR="00E77AAF" w:rsidRPr="005C502A" w:rsidRDefault="00E77AAF" w:rsidP="00E77AAF">
      <w:pPr>
        <w:spacing w:after="0"/>
        <w:rPr>
          <w:rFonts w:cs="Arial"/>
          <w:b/>
        </w:rPr>
      </w:pPr>
      <w:r w:rsidRPr="005C502A">
        <w:rPr>
          <w:rFonts w:cs="Arial"/>
          <w:b/>
        </w:rPr>
        <w:t>Training</w:t>
      </w:r>
    </w:p>
    <w:p w:rsidR="00E77AAF" w:rsidRDefault="00E77AAF" w:rsidP="00E77AAF">
      <w:pPr>
        <w:spacing w:after="0"/>
        <w:rPr>
          <w:rFonts w:cs="Arial"/>
        </w:rPr>
      </w:pPr>
    </w:p>
    <w:p w:rsidR="00E77AAF" w:rsidRDefault="00E77AAF" w:rsidP="00E77AAF">
      <w:pPr>
        <w:spacing w:after="0"/>
        <w:rPr>
          <w:rFonts w:cs="Arial"/>
        </w:rPr>
      </w:pPr>
      <w:r w:rsidRPr="00A143E3">
        <w:rPr>
          <w:rFonts w:cs="Arial"/>
        </w:rPr>
        <w:t>The Board has a small internal budget, which is used primarily to defray the cost of Members’ attendance at training events or conferences.  During the year</w:t>
      </w:r>
      <w:r>
        <w:rPr>
          <w:rFonts w:cs="Arial"/>
        </w:rPr>
        <w:t xml:space="preserve"> £</w:t>
      </w:r>
      <w:r w:rsidRPr="006A5E1C">
        <w:rPr>
          <w:rFonts w:cs="Arial"/>
        </w:rPr>
        <w:t>12,518.33</w:t>
      </w:r>
      <w:r>
        <w:rPr>
          <w:rFonts w:cs="Arial"/>
        </w:rPr>
        <w:t xml:space="preserve"> was</w:t>
      </w:r>
      <w:r w:rsidRPr="003141AD">
        <w:rPr>
          <w:rFonts w:cs="Arial"/>
        </w:rPr>
        <w:t xml:space="preserve"> spent</w:t>
      </w:r>
      <w:r>
        <w:rPr>
          <w:rFonts w:cs="Arial"/>
        </w:rPr>
        <w:t xml:space="preserve"> on the costs of running the Board and training.</w:t>
      </w:r>
    </w:p>
    <w:p w:rsidR="00E77AAF" w:rsidRDefault="00E77AAF" w:rsidP="00E77AAF">
      <w:pPr>
        <w:spacing w:after="0"/>
        <w:rPr>
          <w:rFonts w:cs="Arial"/>
        </w:rPr>
      </w:pPr>
    </w:p>
    <w:p w:rsidR="00E77AAF" w:rsidRDefault="00E77AAF" w:rsidP="00E77AAF">
      <w:pPr>
        <w:spacing w:after="0"/>
        <w:rPr>
          <w:rFonts w:cs="Arial"/>
        </w:rPr>
      </w:pPr>
      <w:r>
        <w:rPr>
          <w:rFonts w:cs="Arial"/>
        </w:rPr>
        <w:t>The LLPB is under a legal obligation to maintain its levels of knowledge and understanding through regular training.  Members are actively encouraged to join internal training sessions held jointly with the members of the Pension Fund Committee.  During the year, internal training workshops were held on the risk register, LPP administration operations, Investment Strategy and GDPR (the new data protection regulations).  Members are also notified of and encouraged to attend external training conferences/event to extend their knowledge and meet other LPB members.</w:t>
      </w:r>
    </w:p>
    <w:p w:rsidR="00E77AAF" w:rsidRDefault="00E77AAF" w:rsidP="00E77AAF">
      <w:pPr>
        <w:spacing w:after="0"/>
        <w:rPr>
          <w:rFonts w:cs="Arial"/>
        </w:rPr>
      </w:pPr>
    </w:p>
    <w:p w:rsidR="00E77AAF" w:rsidRDefault="00E77AAF" w:rsidP="00E77AAF">
      <w:pPr>
        <w:spacing w:after="0"/>
        <w:rPr>
          <w:rFonts w:cs="Arial"/>
        </w:rPr>
      </w:pPr>
      <w:r>
        <w:rPr>
          <w:rFonts w:cs="Arial"/>
        </w:rPr>
        <w:t xml:space="preserve">In addition we conduct a gap analysis of training needs once a year as part of our own annual appraisal, which becomes an agenda item at our next meeting.  </w:t>
      </w:r>
      <w:r w:rsidRPr="009E6FCA">
        <w:rPr>
          <w:rFonts w:cs="Arial"/>
        </w:rPr>
        <w:t>The table below shows the number of training events each Board member attended during the year.</w:t>
      </w:r>
    </w:p>
    <w:p w:rsidR="00E77AAF" w:rsidRPr="009E6FCA" w:rsidRDefault="00E77AAF" w:rsidP="00E77AAF">
      <w:pPr>
        <w:spacing w:after="0"/>
        <w:rPr>
          <w:rFonts w:cs="Arial"/>
        </w:rPr>
      </w:pPr>
    </w:p>
    <w:tbl>
      <w:tblPr>
        <w:tblStyle w:val="TableGrid"/>
        <w:tblW w:w="7484" w:type="dxa"/>
        <w:tblInd w:w="137" w:type="dxa"/>
        <w:tblLook w:val="04A0" w:firstRow="1" w:lastRow="0" w:firstColumn="1" w:lastColumn="0" w:noHBand="0" w:noVBand="1"/>
      </w:tblPr>
      <w:tblGrid>
        <w:gridCol w:w="3686"/>
        <w:gridCol w:w="1842"/>
        <w:gridCol w:w="1956"/>
      </w:tblGrid>
      <w:tr w:rsidR="00E77AAF" w:rsidTr="00C869BB">
        <w:tc>
          <w:tcPr>
            <w:tcW w:w="3686" w:type="dxa"/>
          </w:tcPr>
          <w:p w:rsidR="00E77AAF" w:rsidRPr="004D7973" w:rsidRDefault="00E77AAF" w:rsidP="00C869BB">
            <w:pPr>
              <w:jc w:val="center"/>
              <w:rPr>
                <w:rFonts w:cs="Arial"/>
                <w:b/>
              </w:rPr>
            </w:pPr>
            <w:r w:rsidRPr="004D7973">
              <w:rPr>
                <w:rFonts w:cs="Arial"/>
                <w:b/>
              </w:rPr>
              <w:t>Name</w:t>
            </w:r>
          </w:p>
          <w:p w:rsidR="00E77AAF" w:rsidRPr="004D7973" w:rsidRDefault="00E77AAF" w:rsidP="00C869BB">
            <w:pPr>
              <w:jc w:val="center"/>
              <w:rPr>
                <w:rFonts w:cs="Arial"/>
                <w:b/>
              </w:rPr>
            </w:pPr>
          </w:p>
        </w:tc>
        <w:tc>
          <w:tcPr>
            <w:tcW w:w="1842" w:type="dxa"/>
          </w:tcPr>
          <w:p w:rsidR="00E77AAF" w:rsidRPr="004D7973" w:rsidRDefault="00E77AAF" w:rsidP="00C869BB">
            <w:pPr>
              <w:jc w:val="center"/>
              <w:rPr>
                <w:rFonts w:cs="Arial"/>
                <w:b/>
              </w:rPr>
            </w:pPr>
            <w:r w:rsidRPr="004D7973">
              <w:rPr>
                <w:rFonts w:cs="Arial"/>
                <w:b/>
              </w:rPr>
              <w:t>Internal event attended</w:t>
            </w:r>
          </w:p>
        </w:tc>
        <w:tc>
          <w:tcPr>
            <w:tcW w:w="1956" w:type="dxa"/>
          </w:tcPr>
          <w:p w:rsidR="00E77AAF" w:rsidRPr="004D7973" w:rsidRDefault="00E77AAF" w:rsidP="00C869BB">
            <w:pPr>
              <w:jc w:val="center"/>
              <w:rPr>
                <w:rFonts w:cs="Arial"/>
                <w:b/>
              </w:rPr>
            </w:pPr>
            <w:r w:rsidRPr="004D7973">
              <w:rPr>
                <w:rFonts w:cs="Arial"/>
                <w:b/>
              </w:rPr>
              <w:t>External events attended</w:t>
            </w:r>
          </w:p>
        </w:tc>
      </w:tr>
      <w:tr w:rsidR="00E77AAF" w:rsidTr="00C869BB">
        <w:tc>
          <w:tcPr>
            <w:tcW w:w="3686" w:type="dxa"/>
          </w:tcPr>
          <w:p w:rsidR="00E77AAF" w:rsidRPr="004D7973" w:rsidRDefault="00E77AAF" w:rsidP="00C869BB">
            <w:pPr>
              <w:rPr>
                <w:rFonts w:cs="Arial"/>
              </w:rPr>
            </w:pPr>
            <w:r w:rsidRPr="004D7973">
              <w:rPr>
                <w:rFonts w:cs="Arial"/>
              </w:rPr>
              <w:t>W Bourne</w:t>
            </w:r>
          </w:p>
        </w:tc>
        <w:tc>
          <w:tcPr>
            <w:tcW w:w="1842" w:type="dxa"/>
          </w:tcPr>
          <w:p w:rsidR="00E77AAF" w:rsidRPr="004D7973" w:rsidRDefault="00E77AAF" w:rsidP="00C869BB">
            <w:pPr>
              <w:jc w:val="center"/>
              <w:rPr>
                <w:rFonts w:cs="Arial"/>
              </w:rPr>
            </w:pPr>
            <w:r>
              <w:rPr>
                <w:rFonts w:cs="Arial"/>
              </w:rPr>
              <w:t>1</w:t>
            </w:r>
          </w:p>
        </w:tc>
        <w:tc>
          <w:tcPr>
            <w:tcW w:w="1956" w:type="dxa"/>
          </w:tcPr>
          <w:p w:rsidR="00E77AAF" w:rsidRPr="004D7973" w:rsidRDefault="00E77AAF" w:rsidP="00C869BB">
            <w:pPr>
              <w:jc w:val="center"/>
              <w:rPr>
                <w:rFonts w:cs="Arial"/>
              </w:rPr>
            </w:pPr>
            <w:r>
              <w:rPr>
                <w:rFonts w:cs="Arial"/>
              </w:rPr>
              <w:t>3</w:t>
            </w:r>
          </w:p>
        </w:tc>
      </w:tr>
      <w:tr w:rsidR="00E77AAF" w:rsidTr="00C869BB">
        <w:tc>
          <w:tcPr>
            <w:tcW w:w="3686" w:type="dxa"/>
          </w:tcPr>
          <w:p w:rsidR="00E77AAF" w:rsidRPr="004D7973" w:rsidRDefault="00E77AAF" w:rsidP="00C869BB">
            <w:pPr>
              <w:rPr>
                <w:rFonts w:cs="Arial"/>
              </w:rPr>
            </w:pPr>
            <w:r w:rsidRPr="00511583">
              <w:rPr>
                <w:rFonts w:cs="Arial"/>
              </w:rPr>
              <w:t>County Councillor C Wakeford</w:t>
            </w:r>
          </w:p>
        </w:tc>
        <w:tc>
          <w:tcPr>
            <w:tcW w:w="1842" w:type="dxa"/>
          </w:tcPr>
          <w:p w:rsidR="00E77AAF" w:rsidRPr="004D7973" w:rsidRDefault="00E77AAF" w:rsidP="00C869BB">
            <w:pPr>
              <w:jc w:val="center"/>
              <w:rPr>
                <w:rFonts w:cs="Arial"/>
              </w:rPr>
            </w:pPr>
            <w:r>
              <w:rPr>
                <w:rFonts w:cs="Arial"/>
              </w:rPr>
              <w:t>1</w:t>
            </w:r>
          </w:p>
        </w:tc>
        <w:tc>
          <w:tcPr>
            <w:tcW w:w="1956" w:type="dxa"/>
          </w:tcPr>
          <w:p w:rsidR="00E77AAF" w:rsidRPr="004D7973" w:rsidRDefault="00E77AAF" w:rsidP="00C869BB">
            <w:pPr>
              <w:jc w:val="center"/>
              <w:rPr>
                <w:rFonts w:cs="Arial"/>
              </w:rPr>
            </w:pPr>
            <w:r>
              <w:rPr>
                <w:rFonts w:cs="Arial"/>
              </w:rPr>
              <w:t>0</w:t>
            </w:r>
          </w:p>
        </w:tc>
      </w:tr>
      <w:tr w:rsidR="00E77AAF" w:rsidTr="00C869BB">
        <w:tc>
          <w:tcPr>
            <w:tcW w:w="3686" w:type="dxa"/>
          </w:tcPr>
          <w:p w:rsidR="00E77AAF" w:rsidRPr="004D7973" w:rsidRDefault="00E77AAF" w:rsidP="00C869BB">
            <w:pPr>
              <w:rPr>
                <w:rFonts w:cs="Arial"/>
              </w:rPr>
            </w:pPr>
            <w:r w:rsidRPr="004D7973">
              <w:rPr>
                <w:rFonts w:cs="Arial"/>
              </w:rPr>
              <w:t>S Browne</w:t>
            </w:r>
          </w:p>
        </w:tc>
        <w:tc>
          <w:tcPr>
            <w:tcW w:w="1842" w:type="dxa"/>
          </w:tcPr>
          <w:p w:rsidR="00E77AAF" w:rsidRPr="004D7973" w:rsidRDefault="00E77AAF" w:rsidP="00C869BB">
            <w:pPr>
              <w:jc w:val="center"/>
              <w:rPr>
                <w:rFonts w:cs="Arial"/>
              </w:rPr>
            </w:pPr>
            <w:r>
              <w:rPr>
                <w:rFonts w:cs="Arial"/>
              </w:rPr>
              <w:t>2</w:t>
            </w:r>
          </w:p>
        </w:tc>
        <w:tc>
          <w:tcPr>
            <w:tcW w:w="1956" w:type="dxa"/>
          </w:tcPr>
          <w:p w:rsidR="00E77AAF" w:rsidRPr="004D7973" w:rsidRDefault="00E77AAF" w:rsidP="00C869BB">
            <w:pPr>
              <w:jc w:val="center"/>
              <w:rPr>
                <w:rFonts w:cs="Arial"/>
              </w:rPr>
            </w:pPr>
            <w:r>
              <w:rPr>
                <w:rFonts w:cs="Arial"/>
              </w:rPr>
              <w:t>1</w:t>
            </w:r>
          </w:p>
        </w:tc>
      </w:tr>
      <w:tr w:rsidR="00E77AAF" w:rsidTr="00C869BB">
        <w:tc>
          <w:tcPr>
            <w:tcW w:w="3686" w:type="dxa"/>
          </w:tcPr>
          <w:p w:rsidR="00E77AAF" w:rsidRPr="004D7973" w:rsidRDefault="00E77AAF" w:rsidP="00C869BB">
            <w:pPr>
              <w:rPr>
                <w:rFonts w:cs="Arial"/>
              </w:rPr>
            </w:pPr>
            <w:r>
              <w:rPr>
                <w:rFonts w:cs="Arial"/>
              </w:rPr>
              <w:t>S Thompson</w:t>
            </w:r>
          </w:p>
        </w:tc>
        <w:tc>
          <w:tcPr>
            <w:tcW w:w="1842" w:type="dxa"/>
          </w:tcPr>
          <w:p w:rsidR="00E77AAF" w:rsidRPr="004D7973" w:rsidRDefault="00E77AAF" w:rsidP="00C869BB">
            <w:pPr>
              <w:jc w:val="center"/>
              <w:rPr>
                <w:rFonts w:cs="Arial"/>
              </w:rPr>
            </w:pPr>
            <w:r>
              <w:rPr>
                <w:rFonts w:cs="Arial"/>
              </w:rPr>
              <w:t>2</w:t>
            </w:r>
          </w:p>
        </w:tc>
        <w:tc>
          <w:tcPr>
            <w:tcW w:w="1956" w:type="dxa"/>
          </w:tcPr>
          <w:p w:rsidR="00E77AAF" w:rsidRPr="004D7973" w:rsidRDefault="00E77AAF" w:rsidP="00C869BB">
            <w:pPr>
              <w:jc w:val="center"/>
              <w:rPr>
                <w:rFonts w:cs="Arial"/>
              </w:rPr>
            </w:pPr>
            <w:r>
              <w:rPr>
                <w:rFonts w:cs="Arial"/>
              </w:rPr>
              <w:t>0</w:t>
            </w:r>
          </w:p>
        </w:tc>
      </w:tr>
      <w:tr w:rsidR="00E77AAF" w:rsidTr="00C869BB">
        <w:tc>
          <w:tcPr>
            <w:tcW w:w="3686" w:type="dxa"/>
          </w:tcPr>
          <w:p w:rsidR="00E77AAF" w:rsidRPr="004D7973" w:rsidRDefault="00E77AAF" w:rsidP="00C869BB">
            <w:pPr>
              <w:rPr>
                <w:rFonts w:cs="Arial"/>
              </w:rPr>
            </w:pPr>
            <w:r w:rsidRPr="004D7973">
              <w:rPr>
                <w:rFonts w:cs="Arial"/>
              </w:rPr>
              <w:t>C Gibson</w:t>
            </w:r>
          </w:p>
        </w:tc>
        <w:tc>
          <w:tcPr>
            <w:tcW w:w="1842" w:type="dxa"/>
          </w:tcPr>
          <w:p w:rsidR="00E77AAF" w:rsidRPr="004D7973" w:rsidRDefault="00E77AAF" w:rsidP="00C869BB">
            <w:pPr>
              <w:jc w:val="center"/>
              <w:rPr>
                <w:rFonts w:cs="Arial"/>
              </w:rPr>
            </w:pPr>
            <w:r>
              <w:rPr>
                <w:rFonts w:cs="Arial"/>
              </w:rPr>
              <w:t>0</w:t>
            </w:r>
          </w:p>
        </w:tc>
        <w:tc>
          <w:tcPr>
            <w:tcW w:w="1956" w:type="dxa"/>
          </w:tcPr>
          <w:p w:rsidR="00E77AAF" w:rsidRPr="004D7973" w:rsidRDefault="00E77AAF" w:rsidP="00C869BB">
            <w:pPr>
              <w:jc w:val="center"/>
              <w:rPr>
                <w:rFonts w:cs="Arial"/>
              </w:rPr>
            </w:pPr>
            <w:r>
              <w:rPr>
                <w:rFonts w:cs="Arial"/>
              </w:rPr>
              <w:t>1</w:t>
            </w:r>
          </w:p>
        </w:tc>
      </w:tr>
      <w:tr w:rsidR="00E77AAF" w:rsidTr="00C869BB">
        <w:tc>
          <w:tcPr>
            <w:tcW w:w="3686" w:type="dxa"/>
          </w:tcPr>
          <w:p w:rsidR="00E77AAF" w:rsidRPr="004D7973" w:rsidRDefault="00E77AAF" w:rsidP="00C869BB">
            <w:pPr>
              <w:rPr>
                <w:rFonts w:cs="Arial"/>
              </w:rPr>
            </w:pPr>
            <w:r w:rsidRPr="004D7973">
              <w:rPr>
                <w:rFonts w:cs="Arial"/>
              </w:rPr>
              <w:t>K Haigh</w:t>
            </w:r>
          </w:p>
        </w:tc>
        <w:tc>
          <w:tcPr>
            <w:tcW w:w="1842" w:type="dxa"/>
          </w:tcPr>
          <w:p w:rsidR="00E77AAF" w:rsidRPr="004D7973" w:rsidRDefault="00E77AAF" w:rsidP="00C869BB">
            <w:pPr>
              <w:jc w:val="center"/>
              <w:rPr>
                <w:rFonts w:cs="Arial"/>
              </w:rPr>
            </w:pPr>
            <w:r>
              <w:rPr>
                <w:rFonts w:cs="Arial"/>
              </w:rPr>
              <w:t>7</w:t>
            </w:r>
          </w:p>
        </w:tc>
        <w:tc>
          <w:tcPr>
            <w:tcW w:w="1956" w:type="dxa"/>
          </w:tcPr>
          <w:p w:rsidR="00E77AAF" w:rsidRPr="004D7973" w:rsidRDefault="00E77AAF" w:rsidP="00C869BB">
            <w:pPr>
              <w:jc w:val="center"/>
              <w:rPr>
                <w:rFonts w:cs="Arial"/>
              </w:rPr>
            </w:pPr>
            <w:r>
              <w:rPr>
                <w:rFonts w:cs="Arial"/>
              </w:rPr>
              <w:t>2</w:t>
            </w:r>
          </w:p>
        </w:tc>
      </w:tr>
      <w:tr w:rsidR="00E77AAF" w:rsidTr="00C869BB">
        <w:tc>
          <w:tcPr>
            <w:tcW w:w="3686" w:type="dxa"/>
          </w:tcPr>
          <w:p w:rsidR="00E77AAF" w:rsidRPr="004D7973" w:rsidRDefault="00E77AAF" w:rsidP="00C869BB">
            <w:pPr>
              <w:rPr>
                <w:rFonts w:cs="Arial"/>
              </w:rPr>
            </w:pPr>
            <w:r w:rsidRPr="004D7973">
              <w:rPr>
                <w:rFonts w:cs="Arial"/>
              </w:rPr>
              <w:t>R Harvey</w:t>
            </w:r>
          </w:p>
        </w:tc>
        <w:tc>
          <w:tcPr>
            <w:tcW w:w="1842" w:type="dxa"/>
          </w:tcPr>
          <w:p w:rsidR="00E77AAF" w:rsidRPr="004D7973" w:rsidRDefault="00E77AAF" w:rsidP="00C869BB">
            <w:pPr>
              <w:jc w:val="center"/>
              <w:rPr>
                <w:rFonts w:cs="Arial"/>
              </w:rPr>
            </w:pPr>
            <w:r>
              <w:rPr>
                <w:rFonts w:cs="Arial"/>
              </w:rPr>
              <w:t>7</w:t>
            </w:r>
          </w:p>
        </w:tc>
        <w:tc>
          <w:tcPr>
            <w:tcW w:w="1956" w:type="dxa"/>
          </w:tcPr>
          <w:p w:rsidR="00E77AAF" w:rsidRPr="004D7973" w:rsidRDefault="00E77AAF" w:rsidP="00C869BB">
            <w:pPr>
              <w:jc w:val="center"/>
              <w:rPr>
                <w:rFonts w:cs="Arial"/>
              </w:rPr>
            </w:pPr>
            <w:r>
              <w:rPr>
                <w:rFonts w:cs="Arial"/>
              </w:rPr>
              <w:t>2</w:t>
            </w:r>
          </w:p>
        </w:tc>
      </w:tr>
      <w:tr w:rsidR="00E77AAF" w:rsidTr="00C869BB">
        <w:tc>
          <w:tcPr>
            <w:tcW w:w="3686" w:type="dxa"/>
          </w:tcPr>
          <w:p w:rsidR="00E77AAF" w:rsidRPr="004D7973" w:rsidRDefault="00E77AAF" w:rsidP="00C869BB">
            <w:pPr>
              <w:rPr>
                <w:rFonts w:cs="Arial"/>
              </w:rPr>
            </w:pPr>
            <w:r w:rsidRPr="004D7973">
              <w:rPr>
                <w:rFonts w:cs="Arial"/>
              </w:rPr>
              <w:t>Y Moult</w:t>
            </w:r>
          </w:p>
        </w:tc>
        <w:tc>
          <w:tcPr>
            <w:tcW w:w="1842" w:type="dxa"/>
          </w:tcPr>
          <w:p w:rsidR="00E77AAF" w:rsidRPr="004D7973" w:rsidRDefault="00E77AAF" w:rsidP="00C869BB">
            <w:pPr>
              <w:jc w:val="center"/>
              <w:rPr>
                <w:rFonts w:cs="Arial"/>
              </w:rPr>
            </w:pPr>
            <w:r>
              <w:rPr>
                <w:rFonts w:cs="Arial"/>
              </w:rPr>
              <w:t>4</w:t>
            </w:r>
          </w:p>
        </w:tc>
        <w:tc>
          <w:tcPr>
            <w:tcW w:w="1956" w:type="dxa"/>
          </w:tcPr>
          <w:p w:rsidR="00E77AAF" w:rsidRPr="004D7973" w:rsidRDefault="00E77AAF" w:rsidP="00C869BB">
            <w:pPr>
              <w:jc w:val="center"/>
              <w:rPr>
                <w:rFonts w:cs="Arial"/>
              </w:rPr>
            </w:pPr>
            <w:r>
              <w:rPr>
                <w:rFonts w:cs="Arial"/>
              </w:rPr>
              <w:t>1</w:t>
            </w:r>
          </w:p>
        </w:tc>
      </w:tr>
      <w:tr w:rsidR="00E77AAF" w:rsidTr="00C869BB">
        <w:tc>
          <w:tcPr>
            <w:tcW w:w="3686" w:type="dxa"/>
          </w:tcPr>
          <w:p w:rsidR="00E77AAF" w:rsidRPr="004D7973" w:rsidRDefault="00E77AAF" w:rsidP="00C869BB">
            <w:pPr>
              <w:rPr>
                <w:rFonts w:cs="Arial"/>
              </w:rPr>
            </w:pPr>
            <w:r w:rsidRPr="004D7973">
              <w:rPr>
                <w:rFonts w:cs="Arial"/>
              </w:rPr>
              <w:t>J Hall</w:t>
            </w:r>
          </w:p>
        </w:tc>
        <w:tc>
          <w:tcPr>
            <w:tcW w:w="1842" w:type="dxa"/>
          </w:tcPr>
          <w:p w:rsidR="00E77AAF" w:rsidRPr="004D7973" w:rsidRDefault="00E77AAF" w:rsidP="00C869BB">
            <w:pPr>
              <w:jc w:val="center"/>
              <w:rPr>
                <w:rFonts w:cs="Arial"/>
              </w:rPr>
            </w:pPr>
            <w:r>
              <w:rPr>
                <w:rFonts w:cs="Arial"/>
              </w:rPr>
              <w:t>0</w:t>
            </w:r>
          </w:p>
        </w:tc>
        <w:tc>
          <w:tcPr>
            <w:tcW w:w="1956" w:type="dxa"/>
          </w:tcPr>
          <w:p w:rsidR="00E77AAF" w:rsidRPr="004D7973" w:rsidRDefault="00E77AAF" w:rsidP="00C869BB">
            <w:pPr>
              <w:jc w:val="center"/>
              <w:rPr>
                <w:rFonts w:cs="Arial"/>
              </w:rPr>
            </w:pPr>
            <w:r>
              <w:rPr>
                <w:rFonts w:cs="Arial"/>
              </w:rPr>
              <w:t>0</w:t>
            </w:r>
          </w:p>
        </w:tc>
      </w:tr>
    </w:tbl>
    <w:p w:rsidR="00E77AAF" w:rsidRDefault="00E77AAF" w:rsidP="00E77AAF">
      <w:pPr>
        <w:spacing w:after="0"/>
        <w:rPr>
          <w:rFonts w:cs="Arial"/>
        </w:rPr>
      </w:pPr>
    </w:p>
    <w:p w:rsidR="00E77AAF" w:rsidRDefault="00E77AAF" w:rsidP="00E77AAF">
      <w:pPr>
        <w:spacing w:after="0"/>
        <w:rPr>
          <w:rFonts w:cs="Arial"/>
        </w:rPr>
      </w:pPr>
    </w:p>
    <w:p w:rsidR="00E77AAF" w:rsidRDefault="00E77AAF" w:rsidP="00E77AAF">
      <w:pPr>
        <w:spacing w:after="0"/>
        <w:rPr>
          <w:rStyle w:val="Hyperlink"/>
        </w:rPr>
      </w:pPr>
      <w:r>
        <w:rPr>
          <w:rFonts w:cs="Arial"/>
        </w:rPr>
        <w:t xml:space="preserve">Information about the Board, including </w:t>
      </w:r>
      <w:r w:rsidRPr="00A143E3">
        <w:rPr>
          <w:rFonts w:cs="Arial"/>
        </w:rPr>
        <w:t>minutes and public papers</w:t>
      </w:r>
      <w:r>
        <w:rPr>
          <w:rFonts w:cs="Arial"/>
        </w:rPr>
        <w:t>,</w:t>
      </w:r>
      <w:r w:rsidRPr="00A143E3">
        <w:rPr>
          <w:rFonts w:cs="Arial"/>
        </w:rPr>
        <w:t xml:space="preserve"> are available on </w:t>
      </w:r>
      <w:r>
        <w:rPr>
          <w:rFonts w:cs="Arial"/>
        </w:rPr>
        <w:t xml:space="preserve">can be viewed on the </w:t>
      </w:r>
      <w:hyperlink r:id="rId40" w:history="1">
        <w:r w:rsidRPr="00D15A23">
          <w:rPr>
            <w:rStyle w:val="Hyperlink"/>
          </w:rPr>
          <w:t>Your Pension Service website</w:t>
        </w:r>
      </w:hyperlink>
      <w:r>
        <w:rPr>
          <w:rFonts w:cs="Arial"/>
        </w:rPr>
        <w:t xml:space="preserve"> </w:t>
      </w:r>
      <w:r w:rsidRPr="00A143E3">
        <w:rPr>
          <w:rFonts w:cs="Arial"/>
        </w:rPr>
        <w:t xml:space="preserve">the </w:t>
      </w:r>
      <w:r w:rsidRPr="008700E8">
        <w:rPr>
          <w:rFonts w:cs="Arial"/>
        </w:rPr>
        <w:t>Pension Fund</w:t>
      </w:r>
      <w:r>
        <w:rPr>
          <w:rFonts w:cs="Arial"/>
        </w:rPr>
        <w:t xml:space="preserve"> </w:t>
      </w:r>
    </w:p>
    <w:p w:rsidR="00E77AAF" w:rsidRDefault="00E77AAF" w:rsidP="00E77AAF">
      <w:pPr>
        <w:spacing w:after="0"/>
        <w:rPr>
          <w:rFonts w:cs="Arial"/>
        </w:rPr>
      </w:pPr>
    </w:p>
    <w:p w:rsidR="00E77AAF" w:rsidRDefault="00E77AAF" w:rsidP="00E77AAF">
      <w:pPr>
        <w:spacing w:after="0"/>
        <w:rPr>
          <w:rFonts w:cs="Arial"/>
        </w:rPr>
      </w:pPr>
      <w:r>
        <w:rPr>
          <w:rFonts w:cs="Arial"/>
        </w:rPr>
        <w:t xml:space="preserve">Much of the work in the past year has been on internal changes and developments resulting from the creation of LPP and I give more details below.  However, it has been important that we do not neglect our regular function of monitoring compliance with all the regulations and guidance from the Pensions Regulator, the DCLG (now the MHCLG) and other sources, as well as service level agreements with LPP.  We agree a detailed Work Plan at the beginning of each year to ensure that we cover everything within our remit and at every meeting we review the assurance statements given to us.  In some cases, such as the Key Performance Indicators or notification of any breach of regulations, we see the detail behind the headline statement.  2018’s plan can be seen in the </w:t>
      </w:r>
      <w:r w:rsidRPr="005C502A">
        <w:rPr>
          <w:rFonts w:cs="Arial"/>
        </w:rPr>
        <w:t xml:space="preserve">agenda for the </w:t>
      </w:r>
      <w:hyperlink r:id="rId41" w:history="1">
        <w:r w:rsidRPr="005C502A">
          <w:rPr>
            <w:rStyle w:val="Hyperlink"/>
          </w:rPr>
          <w:t>April 2018 Board</w:t>
        </w:r>
      </w:hyperlink>
      <w:r>
        <w:rPr>
          <w:rFonts w:cs="Arial"/>
        </w:rPr>
        <w:t>.</w:t>
      </w:r>
    </w:p>
    <w:p w:rsidR="00E77AAF" w:rsidRDefault="00E77AAF" w:rsidP="00E77AAF">
      <w:pPr>
        <w:spacing w:after="0"/>
        <w:rPr>
          <w:rFonts w:cs="Arial"/>
        </w:rPr>
      </w:pPr>
    </w:p>
    <w:p w:rsidR="00E77AAF" w:rsidRDefault="00E77AAF" w:rsidP="00E77AAF">
      <w:pPr>
        <w:spacing w:after="0"/>
        <w:rPr>
          <w:rFonts w:cs="Arial"/>
        </w:rPr>
      </w:pPr>
      <w:r>
        <w:rPr>
          <w:rFonts w:cs="Arial"/>
        </w:rPr>
        <w:t xml:space="preserve">One challenge for the LLPB results from the outsourcing of a large part of the Fund’s functions to LPP, whose staff therefore create many of the assurance statements which we rely on when we review compliance, but may themselves also form part of the subject matter.  In this context, we place particular importance on who else has reviewed the assurance statements and the independent auditor reports, both internal and external.  If we are not content, we will ask to see the detail behind the statements.   </w:t>
      </w:r>
    </w:p>
    <w:p w:rsidR="00E77AAF" w:rsidRDefault="00E77AAF" w:rsidP="00E77AAF">
      <w:pPr>
        <w:spacing w:after="0"/>
        <w:rPr>
          <w:rFonts w:cs="Arial"/>
        </w:rPr>
      </w:pPr>
    </w:p>
    <w:p w:rsidR="00E77AAF" w:rsidRDefault="00E77AAF" w:rsidP="00E77AAF">
      <w:pPr>
        <w:spacing w:after="0"/>
        <w:rPr>
          <w:rFonts w:cs="Arial"/>
        </w:rPr>
      </w:pPr>
      <w:r>
        <w:rPr>
          <w:rFonts w:cs="Arial"/>
        </w:rPr>
        <w:t>Our second legal duty is to assist the Pension Fund Committee.  As part of that, we regularly review and comment on formal documents which they are considering.  I would like to highlight the Risk Register, a revised Responsible Investment policy, the measures put in place ahead of the introduction of two new European Directives (MIFID II and GDPR), compliance with The Pension Regulator’s Code of Practice 14 and the annual communications report.  In all these cases except for the last, our role was to review and make suggestions to the Board before they finally approved the reports.  In the case of the Risk Register, we made substantial recommendations on how to improve its presentation and how the Board’s activities could be a significant mitigating factor across a range of risks.</w:t>
      </w:r>
    </w:p>
    <w:p w:rsidR="00E77AAF" w:rsidRDefault="00E77AAF" w:rsidP="00E77AAF">
      <w:pPr>
        <w:spacing w:after="0"/>
        <w:rPr>
          <w:rFonts w:cs="Arial"/>
        </w:rPr>
      </w:pPr>
    </w:p>
    <w:p w:rsidR="00E77AAF" w:rsidRDefault="00E77AAF" w:rsidP="00E77AAF">
      <w:pPr>
        <w:spacing w:after="0"/>
        <w:rPr>
          <w:rFonts w:cs="Arial"/>
        </w:rPr>
      </w:pPr>
      <w:r>
        <w:rPr>
          <w:rFonts w:cs="Arial"/>
        </w:rPr>
        <w:t xml:space="preserve">I mentioned last year that we would keep a careful eye on the procedures in place to monitor LPP’s performance.  The Fund’s ability to fulfil its fiduciary duty and thereby pay pensions in full on time, depends on LPP providing an effective service to it.  We highlighted last year that we had concerns that there was insufficient governance resource dedicated in this area, and recommended both an increase in the Fund’s governance resource and also an independent review.  A year later there have been three separate reviews from a legal, compliance and operational perspective, which give us greater confidence.  We will continue to monitor this topic going forward, as good governance is a continual process and not a one-off project.  </w:t>
      </w:r>
    </w:p>
    <w:p w:rsidR="00E77AAF" w:rsidRDefault="00E77AAF" w:rsidP="00E77AAF">
      <w:pPr>
        <w:spacing w:after="0"/>
        <w:rPr>
          <w:rFonts w:cs="Arial"/>
        </w:rPr>
      </w:pPr>
    </w:p>
    <w:p w:rsidR="00E77AAF" w:rsidRDefault="00E77AAF" w:rsidP="00E77AAF">
      <w:pPr>
        <w:spacing w:after="0"/>
        <w:rPr>
          <w:rFonts w:cs="Arial"/>
        </w:rPr>
      </w:pPr>
      <w:r>
        <w:rPr>
          <w:rFonts w:cs="Arial"/>
        </w:rPr>
        <w:t>Throughout the year we monitored LPP’s project to redesign the administration processes to deliver a better service to its clients, including LCPF.  Our objective in the last year, within the limits of our remit, was to gain what assurance we could that the process of change did not involve any risk to the level of service provided to members in the short term.  The project is nearing completion and we will be evaluating the improvements in service levels over the next financial year.</w:t>
      </w:r>
    </w:p>
    <w:p w:rsidR="00E77AAF" w:rsidRDefault="00E77AAF" w:rsidP="00E77AAF">
      <w:pPr>
        <w:spacing w:after="0"/>
        <w:rPr>
          <w:rFonts w:cs="Arial"/>
        </w:rPr>
      </w:pPr>
    </w:p>
    <w:p w:rsidR="00E77AAF" w:rsidRDefault="00E77AAF" w:rsidP="00E77AAF">
      <w:pPr>
        <w:spacing w:after="0"/>
        <w:rPr>
          <w:rFonts w:cs="Arial"/>
        </w:rPr>
      </w:pPr>
      <w:r>
        <w:rPr>
          <w:rFonts w:cs="Arial"/>
        </w:rPr>
        <w:t>We have also, jointly with the LPFA, commissioned an external review of LPP’s effectiveness now that the company has been fully operational for two years.  We wish to have third-party assurance that it is cost-effective for both Funds, in terms of its establishment but also looking forward.  We will also spend time in the next year on reviewing communications to members and employers.</w:t>
      </w:r>
    </w:p>
    <w:p w:rsidR="00E77AAF" w:rsidRDefault="00E77AAF" w:rsidP="00E77AAF">
      <w:pPr>
        <w:spacing w:after="0"/>
        <w:rPr>
          <w:rFonts w:cs="Arial"/>
        </w:rPr>
      </w:pPr>
    </w:p>
    <w:p w:rsidR="00E77AAF" w:rsidRDefault="00E77AAF" w:rsidP="00E77AAF">
      <w:pPr>
        <w:spacing w:after="0"/>
        <w:rPr>
          <w:rFonts w:cs="Arial"/>
        </w:rPr>
      </w:pPr>
      <w:r>
        <w:rPr>
          <w:rFonts w:cs="Arial"/>
        </w:rPr>
        <w:t xml:space="preserve">After three years of operation we believe the LLPB has established itself as a valuable part of the Fund’s governance.  We are using our collective knowledge and experience to try and ensure that members and employers’ interests are not lost in the more complex structures which the creation of LPP has inevitably involved.  Apart from the activities outlined above, I expect the focus over the next year to be more on our core functions, i.e. monitoring compliance with the regulations and assisting the PFC to run the Fund where we can.   </w:t>
      </w:r>
    </w:p>
    <w:p w:rsidR="00E77AAF" w:rsidRDefault="00E77AAF" w:rsidP="00E77AAF">
      <w:pPr>
        <w:spacing w:after="0"/>
        <w:rPr>
          <w:rFonts w:cs="Arial"/>
        </w:rPr>
      </w:pPr>
    </w:p>
    <w:p w:rsidR="00E77AAF" w:rsidRDefault="00E77AAF" w:rsidP="00E77AAF">
      <w:pPr>
        <w:spacing w:after="0"/>
        <w:rPr>
          <w:rFonts w:cs="Arial"/>
        </w:rPr>
      </w:pPr>
      <w:r>
        <w:rPr>
          <w:rFonts w:cs="Arial"/>
        </w:rPr>
        <w:t>I will end by once again thanking the officers at LCPF who support us in our duties.  As part of our annual Board appraisal I speak individually to each member, and I can record unanimous agreement that we are ably and effectively supported by the team at LCPF.  In my view it is important that we recognise that publicly in this report.</w:t>
      </w:r>
    </w:p>
    <w:p w:rsidR="00E77AAF" w:rsidRDefault="00E77AAF" w:rsidP="00E77AAF">
      <w:pPr>
        <w:spacing w:after="0"/>
        <w:rPr>
          <w:rFonts w:cs="Arial"/>
        </w:rPr>
      </w:pPr>
    </w:p>
    <w:p w:rsidR="00E77AAF" w:rsidRPr="00A143E3" w:rsidRDefault="00E77AAF" w:rsidP="00E77AAF">
      <w:pPr>
        <w:spacing w:after="0"/>
        <w:rPr>
          <w:rFonts w:cs="Arial"/>
        </w:rPr>
      </w:pPr>
    </w:p>
    <w:p w:rsidR="00E77AAF" w:rsidRPr="00C85B3B" w:rsidRDefault="00E77AAF" w:rsidP="00E77AAF">
      <w:pPr>
        <w:spacing w:after="0"/>
        <w:rPr>
          <w:rFonts w:cs="Arial"/>
          <w:b/>
        </w:rPr>
      </w:pPr>
      <w:r w:rsidRPr="00C85B3B">
        <w:rPr>
          <w:rFonts w:cs="Arial"/>
          <w:b/>
        </w:rPr>
        <w:t>William Bourne</w:t>
      </w:r>
    </w:p>
    <w:p w:rsidR="00E77AAF" w:rsidRDefault="00E77AAF" w:rsidP="00E77AAF">
      <w:pPr>
        <w:spacing w:after="0"/>
        <w:rPr>
          <w:rFonts w:cs="Arial"/>
        </w:rPr>
      </w:pPr>
      <w:r>
        <w:rPr>
          <w:rFonts w:cs="Arial"/>
        </w:rPr>
        <w:t>Independent Chair of the Lancashire Local Pension Board.</w:t>
      </w:r>
    </w:p>
    <w:p w:rsidR="00E77AAF" w:rsidRPr="00A143E3" w:rsidRDefault="00E77AAF" w:rsidP="00E77AAF">
      <w:pPr>
        <w:spacing w:after="0"/>
        <w:rPr>
          <w:rFonts w:cs="Arial"/>
        </w:rPr>
      </w:pPr>
      <w:r>
        <w:rPr>
          <w:rFonts w:cs="Arial"/>
        </w:rPr>
        <w:t>May 2018</w:t>
      </w:r>
    </w:p>
    <w:p w:rsidR="00FF6F6A" w:rsidRDefault="00FF6F6A" w:rsidP="00FF6F6A">
      <w:pPr>
        <w:autoSpaceDE/>
        <w:autoSpaceDN/>
        <w:adjustRightInd/>
        <w:spacing w:after="0"/>
        <w:ind w:left="360"/>
        <w:jc w:val="left"/>
        <w:rPr>
          <w:rFonts w:eastAsia="Times New Roman" w:cs="Times New Roman"/>
          <w:b/>
          <w:color w:val="auto"/>
          <w:sz w:val="28"/>
          <w:szCs w:val="28"/>
          <w:lang w:eastAsia="en-GB"/>
        </w:rPr>
      </w:pPr>
    </w:p>
    <w:p w:rsidR="00FF6F6A" w:rsidRPr="00D75F47" w:rsidRDefault="0023599A" w:rsidP="00FF6F6A">
      <w:pPr>
        <w:autoSpaceDE/>
        <w:autoSpaceDN/>
        <w:adjustRightInd/>
        <w:spacing w:after="0"/>
        <w:jc w:val="left"/>
        <w:rPr>
          <w:sz w:val="40"/>
          <w:szCs w:val="40"/>
        </w:rPr>
      </w:pPr>
      <w:r>
        <w:br w:type="page"/>
      </w:r>
      <w:bookmarkEnd w:id="0"/>
      <w:r w:rsidRPr="00310C84">
        <w:rPr>
          <w:b/>
          <w:sz w:val="32"/>
          <w:szCs w:val="32"/>
        </w:rPr>
        <w:t xml:space="preserve">I </w:t>
      </w:r>
      <w:r w:rsidRPr="0011070C">
        <w:rPr>
          <w:sz w:val="32"/>
          <w:szCs w:val="32"/>
        </w:rPr>
        <w:t xml:space="preserve">  </w:t>
      </w:r>
      <w:r w:rsidRPr="0011070C">
        <w:rPr>
          <w:b/>
          <w:snapToGrid w:val="0"/>
          <w:sz w:val="32"/>
          <w:szCs w:val="32"/>
        </w:rPr>
        <w:t>Actuarial Valuation</w:t>
      </w:r>
      <w:r w:rsidRPr="00D75F47">
        <w:rPr>
          <w:sz w:val="40"/>
          <w:szCs w:val="40"/>
        </w:rPr>
        <w:t xml:space="preserve"> </w:t>
      </w:r>
    </w:p>
    <w:p w:rsidR="00FF6F6A" w:rsidRPr="00D75F47" w:rsidRDefault="00FF6F6A" w:rsidP="00FF6F6A">
      <w:pPr>
        <w:spacing w:before="120"/>
      </w:pPr>
    </w:p>
    <w:p w:rsidR="00FF6F6A" w:rsidRPr="002A4478" w:rsidRDefault="0023599A" w:rsidP="00FF6F6A">
      <w:pPr>
        <w:spacing w:before="120"/>
      </w:pPr>
      <w:r w:rsidRPr="002A4478">
        <w:t xml:space="preserve">An actuarial valuation of the Fund is carried out every three years by the Fund’s actuary Mercer.  The most recent valuation carried out was at 31 March 2016 which determines contribution rates effective from 1 April 2017 to 31 March 2020.  </w:t>
      </w:r>
    </w:p>
    <w:p w:rsidR="00FF6F6A" w:rsidRPr="002A4478" w:rsidRDefault="0023599A" w:rsidP="00FF6F6A">
      <w:pPr>
        <w:spacing w:before="120"/>
      </w:pPr>
      <w:r w:rsidRPr="002A4478">
        <w:t>The Funding objective is to achieve and then maintain assets equal to the Funding Target.  The Funding Target is the present value of 100% of projective accrued liabilities, including allowance for projected final pay.  This is to comply with the requirements of the LGPS regulations to secure the solvency of the Fund and is in accordance with the Funding Strategy Statement (FSS).  The methodology and assumptions by which the Funding Targets and contribution rates are calculated have also been determined in accordance with the FSS.</w:t>
      </w:r>
    </w:p>
    <w:p w:rsidR="00FF6F6A" w:rsidRPr="002A4478" w:rsidRDefault="0023599A" w:rsidP="00FF6F6A">
      <w:pPr>
        <w:spacing w:before="120"/>
      </w:pPr>
      <w:r w:rsidRPr="002A4478">
        <w:t>The FSS specifies an average period for achieving full funding of 16 years. The FSS sets out the circumstances in which this may vary from one employer to another  Where a shortfall exists at the effective date of the valuation a deficit recovery plan will be put into place which requires additional contributions to correct the shortfall.</w:t>
      </w:r>
    </w:p>
    <w:p w:rsidR="00FF6F6A" w:rsidRPr="002A4478" w:rsidRDefault="0023599A" w:rsidP="00FF6F6A">
      <w:pPr>
        <w:tabs>
          <w:tab w:val="left" w:pos="10233"/>
        </w:tabs>
        <w:spacing w:before="120"/>
      </w:pPr>
      <w:r w:rsidRPr="002A4478">
        <w:t xml:space="preserve">The valuation (effective from 1 April 2017) revealed a funding level of 90% and an average employer’s contribution rate of 14.9% plus a deficit contribution in 2017/18 of £41.5m.  For most employers the deficit contribution will increase at 3.7% per annum for 16 years.  </w:t>
      </w:r>
    </w:p>
    <w:p w:rsidR="00FF6F6A" w:rsidRPr="002A4478" w:rsidRDefault="0023599A" w:rsidP="00FF6F6A">
      <w:r w:rsidRPr="002A4478">
        <w:t>The chart below, taken from the certified actuarial valuation as at 31 March 2016, compares the assets and liabilities of the Fund at 31 March 2016. Figures are also shown for the last valuation as at 31 March 2013 for comparison.</w:t>
      </w:r>
    </w:p>
    <w:p w:rsidR="00FF6F6A" w:rsidRPr="002A4478" w:rsidRDefault="0023599A" w:rsidP="00FF6F6A">
      <w:pPr>
        <w:spacing w:after="0"/>
      </w:pPr>
      <w:r w:rsidRPr="002A4478">
        <w:rPr>
          <w:noProof/>
          <w:lang w:eastAsia="en-GB"/>
        </w:rPr>
        <mc:AlternateContent>
          <mc:Choice Requires="wps">
            <w:drawing>
              <wp:anchor distT="0" distB="0" distL="114300" distR="114300" simplePos="0" relativeHeight="251661312" behindDoc="0" locked="0" layoutInCell="1" allowOverlap="1" wp14:anchorId="47253311" wp14:editId="7924E418">
                <wp:simplePos x="0" y="0"/>
                <wp:positionH relativeFrom="column">
                  <wp:posOffset>3470910</wp:posOffset>
                </wp:positionH>
                <wp:positionV relativeFrom="paragraph">
                  <wp:posOffset>8255</wp:posOffset>
                </wp:positionV>
                <wp:extent cx="1666875" cy="3238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666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509A" w:rsidRPr="001733C2" w:rsidRDefault="003B509A" w:rsidP="00FF6F6A">
                            <w:pPr>
                              <w:jc w:val="center"/>
                              <w:rPr>
                                <w:b/>
                                <w:color w:val="ED7D31" w:themeColor="accent2"/>
                                <w:sz w:val="28"/>
                                <w:szCs w:val="28"/>
                              </w:rPr>
                            </w:pPr>
                            <w:r w:rsidRPr="001733C2">
                              <w:rPr>
                                <w:b/>
                                <w:color w:val="ED7D31" w:themeColor="accent2"/>
                                <w:sz w:val="28"/>
                                <w:szCs w:val="28"/>
                              </w:rPr>
                              <w:t>31 MARCH 2016</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47253311" id="_x0000_t202" coordsize="21600,21600" o:spt="202" path="m,l,21600r21600,l21600,xe">
                <v:stroke joinstyle="miter"/>
                <v:path gradientshapeok="t" o:connecttype="rect"/>
              </v:shapetype>
              <v:shape id="Text Box 10" o:spid="_x0000_s1026" type="#_x0000_t202" style="position:absolute;left:0;text-align:left;margin-left:273.3pt;margin-top:.65pt;width:131.25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2YaQIAAEoFAAAOAAAAZHJzL2Uyb0RvYy54bWysVMFOGzEQvVfqP1i+lw0gUhSxQSmIXhCg&#10;QsXZeO1kVdvj2ia76df32btJKOVC1cuuPX7zxvM8M2fnvTVsrUJsydX88GDCmXKSmtYta/794erT&#10;KWcxCdcIQ07VfKMiP59//HDW+Zk6ohWZRgUGEhdnna/5KiU/q6ooV8qKeEBeORxqClYkbMOyaoLo&#10;wG5NdTSZTKuOQuMDSRUjrJfDIZ8Xfq2VTLdaR5WYqTnulso3lO9T/lbzMzFbBuFXrRyvIf7hFla0&#10;DkF3VJciCfYc2r+obCsDRdLpQJKtSOtWqpIDsjmcvMrmfiW8KrlAnOh3MsX/Rytv1neBtQ3eDvI4&#10;YfFGD6pP7Av1DCbo0/k4A+zeA5h62IHd2iOMOe1eB5v/SIjhHFSbnbqZTWan6XR6+vmEM4mz46Pj&#10;05NCX+29fYjpqyLL8qLmAa9XRBXr65hwE0C3kBwskmmbq9aYsskVoy5MYGuBtzap3BEef6CMY13N&#10;p8cInZ0cZfeB2bhsUaVmxnA58yHDskobozLGuG9KQ7OS6BuxhZTK7eIXdEZphHqP44jf3+o9zkMe&#10;8CiRyaWds20dhZJ9abK9ZM2PrWR6wEPwF3nnZeqf+rEinqjZoCACDS0Vvbxq8WrXIqY7EdBDqAHM&#10;hXSLjzYE1Wlccbai8Oste8ajtHHKWYeerHn8+SyCQmE+2wvCsx5imnhZluAPyWyXOpB9xChYZAYc&#10;CSfBU/O0XV6koesxSqRaLAoILehFunb3XmbqLFWur4f+UQQ/FmFC+d7QthPF7FUtDthRqUGTcYOG&#10;LRU7Dpc8EV7uC2o/Aue/AQAA//8DAFBLAwQUAAYACAAAACEAY4Db4+AAAAAIAQAADwAAAGRycy9k&#10;b3ducmV2LnhtbEyPy07DMBBF90j8gzWV2CDqtKGhhDgVQjyk7mh4iJ0bT5OIeBzFbhL+nmFFl6Nz&#10;de+ZbDPZVgzY+8aRgsU8AoFUOtNQpeCteLpag/BBk9GtI1Twgx42+flZplPjRnrFYRcqwSXkU62g&#10;DqFLpfRljVb7ueuQmB1cb3Xgs6+k6fXI5baVyyhKpNUN8UKtO3yosfzeHa2Cr8vqc+un5/cxXsXd&#10;48tQ3HyYQqmL2XR/ByLgFP7D8KfP6pCz094dyXjRKlhdJwlHGcQgmK+j2wWIPYNlDDLP5OkD+S8A&#10;AAD//wMAUEsBAi0AFAAGAAgAAAAhALaDOJL+AAAA4QEAABMAAAAAAAAAAAAAAAAAAAAAAFtDb250&#10;ZW50X1R5cGVzXS54bWxQSwECLQAUAAYACAAAACEAOP0h/9YAAACUAQAACwAAAAAAAAAAAAAAAAAv&#10;AQAAX3JlbHMvLnJlbHNQSwECLQAUAAYACAAAACEA/ZndmGkCAABKBQAADgAAAAAAAAAAAAAAAAAu&#10;AgAAZHJzL2Uyb0RvYy54bWxQSwECLQAUAAYACAAAACEAY4Db4+AAAAAIAQAADwAAAAAAAAAAAAAA&#10;AADDBAAAZHJzL2Rvd25yZXYueG1sUEsFBgAAAAAEAAQA8wAAANAFAAAAAA==&#10;" fillcolor="white [3201]" stroked="f" strokeweight=".5pt">
                <v:textbox>
                  <w:txbxContent>
                    <w:p w:rsidR="003B509A" w:rsidRPr="001733C2" w:rsidRDefault="003B509A" w:rsidP="00FF6F6A">
                      <w:pPr>
                        <w:jc w:val="center"/>
                        <w:rPr>
                          <w:b/>
                          <w:color w:val="ED7D31" w:themeColor="accent2"/>
                          <w:sz w:val="28"/>
                          <w:szCs w:val="28"/>
                        </w:rPr>
                      </w:pPr>
                      <w:r w:rsidRPr="001733C2">
                        <w:rPr>
                          <w:b/>
                          <w:color w:val="ED7D31" w:themeColor="accent2"/>
                          <w:sz w:val="28"/>
                          <w:szCs w:val="28"/>
                        </w:rPr>
                        <w:t>31 MARCH 2016</w:t>
                      </w:r>
                    </w:p>
                  </w:txbxContent>
                </v:textbox>
              </v:shape>
            </w:pict>
          </mc:Fallback>
        </mc:AlternateContent>
      </w:r>
      <w:r w:rsidRPr="002A4478">
        <w:rPr>
          <w:noProof/>
          <w:lang w:eastAsia="en-GB"/>
        </w:rPr>
        <mc:AlternateContent>
          <mc:Choice Requires="wps">
            <w:drawing>
              <wp:anchor distT="0" distB="0" distL="114300" distR="114300" simplePos="0" relativeHeight="251659264" behindDoc="0" locked="0" layoutInCell="1" allowOverlap="1" wp14:anchorId="174F7384" wp14:editId="5E0F6019">
                <wp:simplePos x="0" y="0"/>
                <wp:positionH relativeFrom="column">
                  <wp:posOffset>1423035</wp:posOffset>
                </wp:positionH>
                <wp:positionV relativeFrom="paragraph">
                  <wp:posOffset>635</wp:posOffset>
                </wp:positionV>
                <wp:extent cx="1666875" cy="3238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666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509A" w:rsidRPr="001733C2" w:rsidRDefault="003B509A" w:rsidP="00FF6F6A">
                            <w:pPr>
                              <w:jc w:val="center"/>
                              <w:rPr>
                                <w:b/>
                                <w:color w:val="ED7D31" w:themeColor="accent2"/>
                                <w:sz w:val="28"/>
                                <w:szCs w:val="28"/>
                              </w:rPr>
                            </w:pPr>
                            <w:r w:rsidRPr="001733C2">
                              <w:rPr>
                                <w:b/>
                                <w:color w:val="ED7D31" w:themeColor="accent2"/>
                                <w:sz w:val="28"/>
                                <w:szCs w:val="28"/>
                              </w:rPr>
                              <w:t>31 MARCH 2013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74F7384" id="Text Box 23" o:spid="_x0000_s1027" type="#_x0000_t202" style="position:absolute;left:0;text-align:left;margin-left:112.05pt;margin-top:.05pt;width:131.2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8UbAIAAFEFAAAOAAAAZHJzL2Uyb0RvYy54bWysVE1PGzEQvVfqf7B8LxsSkaKIDaIgekGA&#10;ChVn47XJqrbHtU1201/fZ+8moZQLVS+74/Gbr+eZOTntrWFrFWJLruaHBxPOlJPUtO6p5t/vLz8d&#10;cxaTcI0w5FTNNyry0+XHDyedX6gprcg0KjA4cXHR+ZqvUvKLqopypayIB+SVw6WmYEXCMTxVTRAd&#10;vFtTTSeTedVRaHwgqWKE9mK45MviX2sl043WUSVmao7cUvmG8n3M32p5IhZPQfhVK8c0xD9kYUXr&#10;EHTn6kIkwZ5D+5cr28pAkXQ6kGQr0rqVqtSAag4nr6q5WwmvSi0gJ/odTfH/uZXX69vA2qbm0xln&#10;Tli80b3qE/tCPYMK/HQ+LgC78wCmHnq881Yfocxl9zrY/EdBDPdgerNjN3uT2Wg+nx9/PuJM4m42&#10;nR0fFfqrvbUPMX1VZFkWah7weoVUsb6KCZkAuoXkYJFM21y2xpRD7hh1bgJbC7y1SSVHWPyBMo51&#10;NZ/PEDobOcrmg2fjskaVnhnD5cqHCouUNkZljHHflAZnpdA3YgspldvFL+iM0gj1HsMRv8/qPcZD&#10;HbAokcmlnbFtHYVSfRmyPWXNjy1lesCD8Bd1ZzH1j31pll0DPFKzQV8EGiYrennZ4vGuREy3ImCU&#10;0ApYD+kGH20I5NMocbai8Ostfcajw3HLWYfRrHn8+SyCQn8+23PC6x5iqXhZRPgPyWxFHcg+YCOc&#10;ZQ+4Ek7CT83TVjxPw/Bjo0h1dlZAmEQv0pW78zK7zozlNrvvH0TwYy8mdPE1bQdSLF615IAdCRs4&#10;GQ+Y29K4447Ji+HluaD2m3D5GwAA//8DAFBLAwQUAAYACAAAACEAdN4f5d4AAAAHAQAADwAAAGRy&#10;cy9kb3ducmV2LnhtbEyOS0+DQBSF9yb+h8k1cWPsAG2xQYbGGB9JdxYfcTdlrkBk7hBmCvjvvV3p&#10;8uQ7OefLt7PtxIiDbx0piBcRCKTKmZZqBa/l4/UGhA+ajO4coYIf9LAtzs9ynRk30QuO+1ALHiGf&#10;aQVNCH0mpa8atNovXI/E7MsNVgeOQy3NoCcet51MoiiVVrfED43u8b7B6nt/tAo+r+qPnZ+f3qbl&#10;etk/PI/lzbsplbq8mO9uQQScw18ZTvqsDgU7HdyRjBedgiRZxVw9AcF4tUlTEAcF6zgGWeTyv3/x&#10;CwAA//8DAFBLAQItABQABgAIAAAAIQC2gziS/gAAAOEBAAATAAAAAAAAAAAAAAAAAAAAAABbQ29u&#10;dGVudF9UeXBlc10ueG1sUEsBAi0AFAAGAAgAAAAhADj9If/WAAAAlAEAAAsAAAAAAAAAAAAAAAAA&#10;LwEAAF9yZWxzLy5yZWxzUEsBAi0AFAAGAAgAAAAhAMc67xRsAgAAUQUAAA4AAAAAAAAAAAAAAAAA&#10;LgIAAGRycy9lMm9Eb2MueG1sUEsBAi0AFAAGAAgAAAAhAHTeH+XeAAAABwEAAA8AAAAAAAAAAAAA&#10;AAAAxgQAAGRycy9kb3ducmV2LnhtbFBLBQYAAAAABAAEAPMAAADRBQAAAAA=&#10;" fillcolor="white [3201]" stroked="f" strokeweight=".5pt">
                <v:textbox>
                  <w:txbxContent>
                    <w:p w:rsidR="003B509A" w:rsidRPr="001733C2" w:rsidRDefault="003B509A" w:rsidP="00FF6F6A">
                      <w:pPr>
                        <w:jc w:val="center"/>
                        <w:rPr>
                          <w:b/>
                          <w:color w:val="ED7D31" w:themeColor="accent2"/>
                          <w:sz w:val="28"/>
                          <w:szCs w:val="28"/>
                        </w:rPr>
                      </w:pPr>
                      <w:r w:rsidRPr="001733C2">
                        <w:rPr>
                          <w:b/>
                          <w:color w:val="ED7D31" w:themeColor="accent2"/>
                          <w:sz w:val="28"/>
                          <w:szCs w:val="28"/>
                        </w:rPr>
                        <w:t>31 MARCH 2013</w:t>
                      </w:r>
                    </w:p>
                  </w:txbxContent>
                </v:textbox>
              </v:shape>
            </w:pict>
          </mc:Fallback>
        </mc:AlternateContent>
      </w:r>
    </w:p>
    <w:p w:rsidR="00FF6F6A" w:rsidRPr="002A4478" w:rsidRDefault="0023599A" w:rsidP="00FF6F6A">
      <w:r w:rsidRPr="002A4478">
        <w:rPr>
          <w:noProof/>
          <w:lang w:eastAsia="en-GB"/>
        </w:rPr>
        <mc:AlternateContent>
          <mc:Choice Requires="wps">
            <w:drawing>
              <wp:anchor distT="0" distB="0" distL="114300" distR="114300" simplePos="0" relativeHeight="251663360" behindDoc="0" locked="0" layoutInCell="1" allowOverlap="1" wp14:anchorId="0EE6946C" wp14:editId="3ED8B7F2">
                <wp:simplePos x="0" y="0"/>
                <wp:positionH relativeFrom="column">
                  <wp:posOffset>1478915</wp:posOffset>
                </wp:positionH>
                <wp:positionV relativeFrom="paragraph">
                  <wp:posOffset>79004</wp:posOffset>
                </wp:positionV>
                <wp:extent cx="1733550"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noFill/>
                        <a:ln w="9525">
                          <a:noFill/>
                          <a:miter lim="800000"/>
                          <a:headEnd/>
                          <a:tailEnd/>
                        </a:ln>
                      </wps:spPr>
                      <wps:txbx>
                        <w:txbxContent>
                          <w:p w:rsidR="003B509A" w:rsidRPr="00A57B32" w:rsidRDefault="003B509A" w:rsidP="00FF6F6A">
                            <w:pPr>
                              <w:rPr>
                                <w:b/>
                                <w:color w:val="538135" w:themeColor="accent6" w:themeShade="BF"/>
                                <w:sz w:val="20"/>
                              </w:rPr>
                            </w:pPr>
                            <w:r w:rsidRPr="00A57B32">
                              <w:rPr>
                                <w:b/>
                                <w:color w:val="538135" w:themeColor="accent6" w:themeShade="BF"/>
                                <w:sz w:val="20"/>
                              </w:rPr>
                              <w:t>Solvency funding level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EE6946C" id="Text Box 2" o:spid="_x0000_s1028" type="#_x0000_t202" style="position:absolute;left:0;text-align:left;margin-left:116.45pt;margin-top:6.2pt;width:13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WC6gEAAK0DAAAOAAAAZHJzL2Uyb0RvYy54bWysU8GO0zAQvSPxD5bvNGmqsiVquoJdlsvC&#10;Iu3yAVPHaSxsj7HdJuXrGTttqeCGyMGaeGbezHszXt+ORrOD9EGhbfh8VnImrcBW2V3Dv708vFlx&#10;FiLYFjRa2fCjDPx28/rVenC1rLBH3UrPCMSGenAN72N0dVEE0UsDYYZOWnJ26A1E+vW7ovUwELrR&#10;RVWWb4sBfes8ChkC3d5PTr7J+F0nRXzquiAj0w2n3mI+fT636Sw2a6h3HlyvxKkN+IcuDChLRS9Q&#10;9xCB7b36C8oo4TFgF2cCTYFdp4TMHIjNvPyDzXMPTmYuJE5wF5nC/4MVXw5fPVNtwxflDWcWDA3p&#10;RY6RfcCRVUmfwYWawp4dBcaRrmnOmWtwjyi+B2bxrge7k++9x6GX0FJ/85RZXKVOOCGBbIfP2FIZ&#10;2EfMQGPnTRKP5GCETnM6XmaTWhGp5M1isVySS5BvUS1WZKcSUJ+znQ/xk0TDktFwT7PP6HB4DHEK&#10;PYekYhYflNZ0D7W2bGj4u2W1zAlXHqMiradWpuGrMn3TwiSSH22bkyMoPdnUi7Yn1onoRDmO2zEL&#10;fBFzi+2RZPA4bSO9HjJ69D85G2gTGx5+7MFLzsAKum54PJt3Ma9uIpOkpZ3ICpz2Ny3d9X+O+v3K&#10;Nr8AAAD//wMAUEsDBBQABgAIAAAAIQCiQGYf3QAAAAkBAAAPAAAAZHJzL2Rvd25yZXYueG1sTI/B&#10;TsMwDIbvSHuHyJO4sWRdO22l6YRAXEEMmMQta7y2WuNUTbaWt8ec4Gj/n35/LnaT68QVh9B60rBc&#10;KBBIlbct1Ro+3p/vNiBCNGRN5wk1fGOAXTm7KUxu/UhveN3HWnAJhdxoaGLscylD1aAzYeF7JM5O&#10;fnAm8jjU0g5m5HLXyUSptXSmJb7QmB4fG6zO+4vT8Ply+jqk6rV+clk/+klJclup9e18ergHEXGK&#10;fzD86rM6lOx09BeyQXQaklWyZZSDJAXBQKYyXhw1rFcpyLKQ/z8ofwAAAP//AwBQSwECLQAUAAYA&#10;CAAAACEAtoM4kv4AAADhAQAAEwAAAAAAAAAAAAAAAAAAAAAAW0NvbnRlbnRfVHlwZXNdLnhtbFBL&#10;AQItABQABgAIAAAAIQA4/SH/1gAAAJQBAAALAAAAAAAAAAAAAAAAAC8BAABfcmVscy8ucmVsc1BL&#10;AQItABQABgAIAAAAIQB2e5WC6gEAAK0DAAAOAAAAAAAAAAAAAAAAAC4CAABkcnMvZTJvRG9jLnht&#10;bFBLAQItABQABgAIAAAAIQCiQGYf3QAAAAkBAAAPAAAAAAAAAAAAAAAAAEQEAABkcnMvZG93bnJl&#10;di54bWxQSwUGAAAAAAQABADzAAAATgUAAAAA&#10;" filled="f" stroked="f">
                <v:textbox>
                  <w:txbxContent>
                    <w:p w:rsidR="003B509A" w:rsidRPr="00A57B32" w:rsidRDefault="003B509A" w:rsidP="00FF6F6A">
                      <w:pPr>
                        <w:rPr>
                          <w:b/>
                          <w:color w:val="538135" w:themeColor="accent6" w:themeShade="BF"/>
                          <w:sz w:val="20"/>
                        </w:rPr>
                      </w:pPr>
                      <w:r w:rsidRPr="00A57B32">
                        <w:rPr>
                          <w:b/>
                          <w:color w:val="538135" w:themeColor="accent6" w:themeShade="BF"/>
                          <w:sz w:val="20"/>
                        </w:rPr>
                        <w:t>Solvency funding level</w:t>
                      </w:r>
                    </w:p>
                  </w:txbxContent>
                </v:textbox>
              </v:shape>
            </w:pict>
          </mc:Fallback>
        </mc:AlternateContent>
      </w:r>
      <w:r w:rsidRPr="002A4478">
        <w:rPr>
          <w:noProof/>
          <w:lang w:eastAsia="en-GB"/>
        </w:rPr>
        <mc:AlternateContent>
          <mc:Choice Requires="wps">
            <w:drawing>
              <wp:anchor distT="0" distB="0" distL="114300" distR="114300" simplePos="0" relativeHeight="251665408" behindDoc="0" locked="0" layoutInCell="1" allowOverlap="1" wp14:anchorId="1B15880C" wp14:editId="2410F2A0">
                <wp:simplePos x="0" y="0"/>
                <wp:positionH relativeFrom="column">
                  <wp:posOffset>3460115</wp:posOffset>
                </wp:positionH>
                <wp:positionV relativeFrom="paragraph">
                  <wp:posOffset>85725</wp:posOffset>
                </wp:positionV>
                <wp:extent cx="1733550" cy="3238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noFill/>
                        <a:ln w="9525">
                          <a:noFill/>
                          <a:miter lim="800000"/>
                          <a:headEnd/>
                          <a:tailEnd/>
                        </a:ln>
                      </wps:spPr>
                      <wps:txbx>
                        <w:txbxContent>
                          <w:p w:rsidR="003B509A" w:rsidRPr="00A57B32" w:rsidRDefault="003B509A" w:rsidP="00FF6F6A">
                            <w:pPr>
                              <w:rPr>
                                <w:b/>
                                <w:color w:val="538135" w:themeColor="accent6" w:themeShade="BF"/>
                                <w:sz w:val="20"/>
                              </w:rPr>
                            </w:pPr>
                            <w:r w:rsidRPr="00A57B32">
                              <w:rPr>
                                <w:b/>
                                <w:color w:val="538135" w:themeColor="accent6" w:themeShade="BF"/>
                                <w:sz w:val="20"/>
                              </w:rPr>
                              <w:t>Solvency funding level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B15880C" id="_x0000_s1029" type="#_x0000_t202" style="position:absolute;left:0;text-align:left;margin-left:272.45pt;margin-top:6.75pt;width:136.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29n6QEAAKwDAAAOAAAAZHJzL2Uyb0RvYy54bWysU01v2zAMvQ/YfxB0X5wPZMuMKMXWrrt0&#10;64C2P4CR5ViYJGqSEjv79aPkJCu6WzEfBFokH/keqfXVYA07qBA1OsFnkylnyklstNsJ/vR4+27F&#10;WUzgGjDolOBHFfnV5u2bde9rNccOTaMCIxAX694L3qXk66qKslMW4gS9cuRsMVhI9Bt2VROgJ3Rr&#10;qvl0+r7qMTQ+oFQx0u3N6OSbgt+2Sqb7to0qMSM49ZbKGcq5zWe1WUO9C+A7LU9twCu6sKAdFb1A&#10;3UACtg/6HyirZcCIbZpItBW2rZaqcCA2s+kLNg8deFW4kDjRX2SK/w9Wfj/8CEw3gs+XnDmwNKNH&#10;NST2GQc2z/L0PtYU9eApLg10TWMuVKO/Q/kzMofXHbid+hQC9p2Chtqb5czqWeqIEzPItv+GDZWB&#10;fcICNLTBZu1IDUboNKbjZTS5FZlLflgslktySfIt5osV2bkE1OdsH2L6qtCybAgeaPQFHQ53MY2h&#10;55BczOGtNobuoTaO9YJ/XJICLzxWJ9pOo63gq2n+xn3JJL+4piQn0Ga0qRfjTqwz0ZFyGrZD0Xdx&#10;FnOLzZFkCDguIz0eMjoMvznraREFj7/2EBRn4CRdC57O5nUqm5vJZGlpJYoCp/XNO/f8v0T9fWSb&#10;PwAAAP//AwBQSwMEFAAGAAgAAAAhADz4PLfdAAAACQEAAA8AAABkcnMvZG93bnJldi54bWxMj8FO&#10;wzAMhu9Ie4fIk7ixZKMdW2k6IRBX0AabxC1rvLZa41RNtpa3x5zgaP+ffn/ON6NrxRX70HjSMJ8p&#10;EEiltw1VGj4/Xu9WIEI0ZE3rCTV8Y4BNMbnJTWb9QFu87mIluIRCZjTUMXaZlKGs0Zkw8x0SZyff&#10;OxN57CtpezNwuWvlQqmldKYhvlCbDp9rLM+7i9Owfzt9HRL1Xr24tBv8qCS5tdT6djo+PYKIOMY/&#10;GH71WR0Kdjr6C9kgWg1pkqwZ5eA+BcHAav7Ai6OGZZKCLHL5/4PiBwAA//8DAFBLAQItABQABgAI&#10;AAAAIQC2gziS/gAAAOEBAAATAAAAAAAAAAAAAAAAAAAAAABbQ29udGVudF9UeXBlc10ueG1sUEsB&#10;Ai0AFAAGAAgAAAAhADj9If/WAAAAlAEAAAsAAAAAAAAAAAAAAAAALwEAAF9yZWxzLy5yZWxzUEsB&#10;Ai0AFAAGAAgAAAAhAPjfb2fpAQAArAMAAA4AAAAAAAAAAAAAAAAALgIAAGRycy9lMm9Eb2MueG1s&#10;UEsBAi0AFAAGAAgAAAAhADz4PLfdAAAACQEAAA8AAAAAAAAAAAAAAAAAQwQAAGRycy9kb3ducmV2&#10;LnhtbFBLBQYAAAAABAAEAPMAAABNBQAAAAA=&#10;" filled="f" stroked="f">
                <v:textbox>
                  <w:txbxContent>
                    <w:p w:rsidR="003B509A" w:rsidRPr="00A57B32" w:rsidRDefault="003B509A" w:rsidP="00FF6F6A">
                      <w:pPr>
                        <w:rPr>
                          <w:b/>
                          <w:color w:val="538135" w:themeColor="accent6" w:themeShade="BF"/>
                          <w:sz w:val="20"/>
                        </w:rPr>
                      </w:pPr>
                      <w:r w:rsidRPr="00A57B32">
                        <w:rPr>
                          <w:b/>
                          <w:color w:val="538135" w:themeColor="accent6" w:themeShade="BF"/>
                          <w:sz w:val="20"/>
                        </w:rPr>
                        <w:t>Solvency funding level</w:t>
                      </w:r>
                    </w:p>
                  </w:txbxContent>
                </v:textbox>
              </v:shape>
            </w:pict>
          </mc:Fallback>
        </mc:AlternateContent>
      </w:r>
      <w:r w:rsidRPr="002A4478">
        <w:rPr>
          <w:noProof/>
          <w:lang w:eastAsia="en-GB"/>
        </w:rPr>
        <w:drawing>
          <wp:anchor distT="0" distB="0" distL="114300" distR="114300" simplePos="0" relativeHeight="251658240" behindDoc="0" locked="0" layoutInCell="1" allowOverlap="1" wp14:anchorId="3938BBCB" wp14:editId="50892227">
            <wp:simplePos x="0" y="0"/>
            <wp:positionH relativeFrom="column">
              <wp:posOffset>558165</wp:posOffset>
            </wp:positionH>
            <wp:positionV relativeFrom="paragraph">
              <wp:posOffset>124460</wp:posOffset>
            </wp:positionV>
            <wp:extent cx="4940935" cy="2886075"/>
            <wp:effectExtent l="0" t="0" r="0" b="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FF6F6A" w:rsidRPr="002A4478" w:rsidRDefault="00FF6F6A" w:rsidP="00FF6F6A"/>
    <w:p w:rsidR="00FF6F6A" w:rsidRPr="002A4478" w:rsidRDefault="00FF6F6A" w:rsidP="00FF6F6A"/>
    <w:p w:rsidR="00FF6F6A" w:rsidRPr="002A4478" w:rsidRDefault="00FF6F6A" w:rsidP="00FF6F6A"/>
    <w:p w:rsidR="00FF6F6A" w:rsidRPr="002A4478" w:rsidRDefault="00FF6F6A" w:rsidP="00FF6F6A"/>
    <w:p w:rsidR="00FF6F6A" w:rsidRPr="002A4478" w:rsidRDefault="00FF6F6A" w:rsidP="00FF6F6A">
      <w:pPr>
        <w:spacing w:before="120"/>
        <w:jc w:val="left"/>
      </w:pPr>
    </w:p>
    <w:p w:rsidR="00FF6F6A" w:rsidRPr="002A4478" w:rsidRDefault="00FF6F6A" w:rsidP="00FF6F6A">
      <w:pPr>
        <w:spacing w:before="120"/>
        <w:jc w:val="left"/>
      </w:pPr>
    </w:p>
    <w:p w:rsidR="00FF6F6A" w:rsidRPr="002A4478" w:rsidRDefault="00FF6F6A" w:rsidP="00FF6F6A">
      <w:pPr>
        <w:spacing w:before="120"/>
        <w:jc w:val="left"/>
      </w:pPr>
    </w:p>
    <w:p w:rsidR="00FF6F6A" w:rsidRPr="002A4478" w:rsidRDefault="00FF6F6A" w:rsidP="00FF6F6A">
      <w:pPr>
        <w:spacing w:before="120"/>
        <w:jc w:val="left"/>
      </w:pPr>
    </w:p>
    <w:p w:rsidR="00FF6F6A" w:rsidRPr="002A4478" w:rsidRDefault="00FF6F6A" w:rsidP="00FF6F6A">
      <w:pPr>
        <w:spacing w:before="120"/>
        <w:jc w:val="left"/>
      </w:pPr>
    </w:p>
    <w:p w:rsidR="00FF6F6A" w:rsidRPr="002A4478" w:rsidRDefault="00FF6F6A" w:rsidP="00FF6F6A">
      <w:pPr>
        <w:spacing w:before="120"/>
        <w:jc w:val="left"/>
      </w:pPr>
    </w:p>
    <w:p w:rsidR="00FF6F6A" w:rsidRPr="002A4478" w:rsidRDefault="00FF6F6A" w:rsidP="00FF6F6A">
      <w:pPr>
        <w:spacing w:before="120"/>
        <w:jc w:val="left"/>
      </w:pPr>
    </w:p>
    <w:p w:rsidR="00FF6F6A" w:rsidRPr="002A4478" w:rsidRDefault="00FF6F6A" w:rsidP="00FF6F6A">
      <w:pPr>
        <w:spacing w:before="120"/>
        <w:jc w:val="left"/>
      </w:pPr>
    </w:p>
    <w:p w:rsidR="00FF6F6A" w:rsidRPr="002A4478" w:rsidRDefault="00FF6F6A" w:rsidP="00FF6F6A">
      <w:pPr>
        <w:spacing w:before="120"/>
        <w:jc w:val="left"/>
      </w:pPr>
    </w:p>
    <w:p w:rsidR="00FF6F6A" w:rsidRPr="002A4478" w:rsidRDefault="0023599A" w:rsidP="00FF6F6A">
      <w:pPr>
        <w:spacing w:before="120"/>
        <w:jc w:val="left"/>
      </w:pPr>
      <w:r w:rsidRPr="002A4478">
        <w:t xml:space="preserve">The employer contributions for 2017/18 are based on the 2016 valuation and the recommended employer contributions for the period 1 April 2017 to 31 March 2020 are set out in the Schedule to the Rates and Adjustments of this report. </w:t>
      </w:r>
    </w:p>
    <w:p w:rsidR="00FF6F6A" w:rsidRPr="002A4478" w:rsidRDefault="0023599A" w:rsidP="00FF6F6A">
      <w:pPr>
        <w:spacing w:before="120"/>
        <w:jc w:val="left"/>
      </w:pPr>
      <w:r w:rsidRPr="002A4478">
        <w:t xml:space="preserve">The projected unit method of valuation was used for the valuation and is in common use for funding Pension Funds in the United Kingdom.  The Valuation results depend on financial and demographic assumptions and these are detailed in full in the Actuarial Valuation and at Appendix 1 of the Funding Strategy Statement. </w:t>
      </w:r>
      <w:hyperlink r:id="rId43" w:history="1">
        <w:r w:rsidRPr="002A4478">
          <w:rPr>
            <w:rStyle w:val="Hyperlink"/>
            <w:rFonts w:cs="Helvetica-Light"/>
          </w:rPr>
          <w:t>Your Pension Service - Lancashire Fund Information</w:t>
        </w:r>
      </w:hyperlink>
    </w:p>
    <w:p w:rsidR="00FF6F6A" w:rsidRPr="002A4478" w:rsidRDefault="0023599A" w:rsidP="00FF6F6A">
      <w:pPr>
        <w:spacing w:before="120"/>
        <w:rPr>
          <w:b/>
        </w:rPr>
      </w:pPr>
      <w:r w:rsidRPr="002A4478">
        <w:rPr>
          <w:b/>
        </w:rPr>
        <w:t>The Rates and adjustments certified and accompanying schedule extracted from the actuarial valuation are as follows:</w:t>
      </w:r>
    </w:p>
    <w:p w:rsidR="00FF6F6A" w:rsidRPr="00CF0F04" w:rsidRDefault="00FF6F6A" w:rsidP="00FF6F6A">
      <w:pPr>
        <w:spacing w:before="120"/>
        <w:rPr>
          <w:b/>
        </w:rPr>
      </w:pPr>
    </w:p>
    <w:p w:rsidR="00FF6F6A" w:rsidRPr="002A4478" w:rsidRDefault="0023599A" w:rsidP="00FF6F6A">
      <w:pPr>
        <w:pStyle w:val="AppendixTitle"/>
      </w:pPr>
      <w:bookmarkStart w:id="7" w:name="_Toc478746246"/>
      <w:r w:rsidRPr="002A4478">
        <w:t>Rates and adjustments certificate issued in accordance with Regulation 62</w:t>
      </w:r>
      <w:bookmarkEnd w:id="7"/>
    </w:p>
    <w:tbl>
      <w:tblPr>
        <w:tblW w:w="0" w:type="auto"/>
        <w:tblLayout w:type="fixed"/>
        <w:tblCellMar>
          <w:left w:w="107" w:type="dxa"/>
          <w:right w:w="107" w:type="dxa"/>
        </w:tblCellMar>
        <w:tblLook w:val="0000" w:firstRow="0" w:lastRow="0" w:firstColumn="0" w:lastColumn="0" w:noHBand="0" w:noVBand="0"/>
      </w:tblPr>
      <w:tblGrid>
        <w:gridCol w:w="2987"/>
        <w:gridCol w:w="5850"/>
      </w:tblGrid>
      <w:tr w:rsidR="00D41D59" w:rsidRPr="002A4478" w:rsidTr="00FF6F6A">
        <w:trPr>
          <w:trHeight w:hRule="exact" w:val="706"/>
        </w:trPr>
        <w:tc>
          <w:tcPr>
            <w:tcW w:w="2987" w:type="dxa"/>
            <w:vAlign w:val="center"/>
          </w:tcPr>
          <w:p w:rsidR="00FF6F6A" w:rsidRPr="002A4478" w:rsidRDefault="0023599A" w:rsidP="00FF6F6A">
            <w:pPr>
              <w:rPr>
                <w:color w:val="44546A" w:themeColor="text2"/>
                <w:spacing w:val="30"/>
              </w:rPr>
            </w:pPr>
            <w:r w:rsidRPr="002A4478">
              <w:rPr>
                <w:color w:val="44546A" w:themeColor="text2"/>
                <w:spacing w:val="30"/>
              </w:rPr>
              <w:t xml:space="preserve">NAME OF FUND </w:t>
            </w:r>
          </w:p>
        </w:tc>
        <w:tc>
          <w:tcPr>
            <w:tcW w:w="5850" w:type="dxa"/>
            <w:tcBorders>
              <w:top w:val="single" w:sz="6" w:space="0" w:color="auto"/>
              <w:left w:val="single" w:sz="6" w:space="0" w:color="auto"/>
              <w:bottom w:val="single" w:sz="6" w:space="0" w:color="auto"/>
              <w:right w:val="single" w:sz="6" w:space="0" w:color="auto"/>
            </w:tcBorders>
            <w:vAlign w:val="center"/>
          </w:tcPr>
          <w:p w:rsidR="00FF6F6A" w:rsidRPr="002A4478" w:rsidRDefault="0023599A" w:rsidP="00FF6F6A">
            <w:pPr>
              <w:rPr>
                <w:color w:val="44546A" w:themeColor="text2"/>
                <w:spacing w:val="30"/>
              </w:rPr>
            </w:pPr>
            <w:r w:rsidRPr="002A4478">
              <w:rPr>
                <w:noProof/>
                <w:color w:val="44546A" w:themeColor="text2"/>
                <w:spacing w:val="30"/>
              </w:rPr>
              <w:t>Lancashire County Pension Fund</w:t>
            </w:r>
          </w:p>
        </w:tc>
      </w:tr>
    </w:tbl>
    <w:p w:rsidR="00FF6F6A" w:rsidRPr="002A4478" w:rsidRDefault="00FF6F6A" w:rsidP="00FF6F6A">
      <w:pPr>
        <w:rPr>
          <w:color w:val="44546A" w:themeColor="text2"/>
          <w:spacing w:val="30"/>
        </w:rPr>
      </w:pPr>
    </w:p>
    <w:p w:rsidR="00FF6F6A" w:rsidRPr="002A4478" w:rsidRDefault="0023599A" w:rsidP="00FF6F6A">
      <w:pPr>
        <w:pStyle w:val="AppendixSubtitle"/>
      </w:pPr>
      <w:bookmarkStart w:id="8" w:name="_Toc478746247"/>
      <w:r w:rsidRPr="002A4478">
        <w:t>Primary contribution rate</w:t>
      </w:r>
      <w:bookmarkEnd w:id="8"/>
    </w:p>
    <w:p w:rsidR="00FF6F6A" w:rsidRPr="002A4478" w:rsidRDefault="0023599A" w:rsidP="00FF6F6A">
      <w:r w:rsidRPr="002A4478">
        <w:t xml:space="preserve">I hereby certify that, in my opinion, the primary rate of the employers’ contribution for the whole Fund for each of the three years beginning 1 April 2017 is </w:t>
      </w:r>
      <w:r w:rsidRPr="002A4478">
        <w:rPr>
          <w:noProof/>
        </w:rPr>
        <w:t>14.9</w:t>
      </w:r>
      <w:r w:rsidRPr="002A4478">
        <w:t>% of pensionable pay.</w:t>
      </w:r>
    </w:p>
    <w:p w:rsidR="00FF6F6A" w:rsidRPr="002A4478" w:rsidRDefault="0023599A" w:rsidP="00FF6F6A">
      <w:r w:rsidRPr="002A4478">
        <w:t xml:space="preserve">The primary rate of contribution for each employer for the three year period beginning 1 April 2017 is set out in the attached schedule.  </w:t>
      </w:r>
    </w:p>
    <w:p w:rsidR="00FF6F6A" w:rsidRPr="002A4478" w:rsidRDefault="0023599A" w:rsidP="00FF6F6A">
      <w:pPr>
        <w:pStyle w:val="AppendixSubtitle"/>
      </w:pPr>
      <w:bookmarkStart w:id="9" w:name="_Toc478746248"/>
      <w:r w:rsidRPr="002A4478">
        <w:t>Secondary contribution rate</w:t>
      </w:r>
      <w:bookmarkEnd w:id="9"/>
    </w:p>
    <w:p w:rsidR="00FF6F6A" w:rsidRPr="002A4478" w:rsidRDefault="0023599A" w:rsidP="00FF6F6A">
      <w:r w:rsidRPr="002A4478">
        <w:t>I hereby certify that, in my opinion, the secondary rate of the employer’s contribution for the whole Fund for each of the three years beginning 1 April 2017 is as follows:</w:t>
      </w:r>
    </w:p>
    <w:p w:rsidR="00FF6F6A" w:rsidRPr="002A4478" w:rsidRDefault="0023599A" w:rsidP="00FF6F6A">
      <w:pPr>
        <w:pStyle w:val="ListNumber"/>
        <w:numPr>
          <w:ilvl w:val="0"/>
          <w:numId w:val="0"/>
        </w:numPr>
        <w:rPr>
          <w:rFonts w:cs="Times New Roman"/>
          <w:color w:val="7C848A"/>
          <w:szCs w:val="16"/>
        </w:rPr>
      </w:pPr>
      <w:r w:rsidRPr="002A4478">
        <w:rPr>
          <w:rFonts w:cs="Times New Roman"/>
          <w:color w:val="7C848A"/>
          <w:szCs w:val="16"/>
        </w:rPr>
        <w:t>2017/18</w:t>
      </w:r>
      <w:r w:rsidRPr="002A4478">
        <w:rPr>
          <w:rFonts w:cs="Times New Roman"/>
          <w:color w:val="7C848A"/>
          <w:szCs w:val="16"/>
        </w:rPr>
        <w:tab/>
        <w:t>£</w:t>
      </w:r>
      <w:r w:rsidRPr="002A4478">
        <w:rPr>
          <w:rFonts w:cs="Times New Roman"/>
          <w:noProof/>
          <w:color w:val="7C848A"/>
          <w:szCs w:val="16"/>
        </w:rPr>
        <w:t>36.0</w:t>
      </w:r>
      <w:r w:rsidRPr="002A4478">
        <w:rPr>
          <w:rFonts w:cs="Times New Roman"/>
          <w:color w:val="7C848A"/>
          <w:szCs w:val="16"/>
        </w:rPr>
        <w:t xml:space="preserve"> million plus </w:t>
      </w:r>
      <w:r w:rsidRPr="002A4478">
        <w:rPr>
          <w:rFonts w:cs="Times New Roman"/>
          <w:noProof/>
          <w:color w:val="7C848A"/>
          <w:szCs w:val="16"/>
        </w:rPr>
        <w:t>0.6</w:t>
      </w:r>
      <w:r w:rsidRPr="002A4478">
        <w:rPr>
          <w:rFonts w:cs="Times New Roman"/>
          <w:color w:val="7C848A"/>
          <w:szCs w:val="16"/>
        </w:rPr>
        <w:t>% of pensionable pay</w:t>
      </w:r>
    </w:p>
    <w:p w:rsidR="00FF6F6A" w:rsidRPr="002A4478" w:rsidRDefault="0023599A" w:rsidP="00FF6F6A">
      <w:pPr>
        <w:pStyle w:val="ListNumber"/>
        <w:numPr>
          <w:ilvl w:val="0"/>
          <w:numId w:val="0"/>
        </w:numPr>
        <w:rPr>
          <w:rFonts w:cs="Times New Roman"/>
          <w:color w:val="7C848A"/>
          <w:szCs w:val="16"/>
        </w:rPr>
      </w:pPr>
      <w:r w:rsidRPr="002A4478">
        <w:rPr>
          <w:rFonts w:cs="Times New Roman"/>
          <w:color w:val="7C848A"/>
          <w:szCs w:val="16"/>
        </w:rPr>
        <w:t>2018/19</w:t>
      </w:r>
      <w:r w:rsidRPr="002A4478">
        <w:rPr>
          <w:rFonts w:cs="Times New Roman"/>
          <w:color w:val="7C848A"/>
          <w:szCs w:val="16"/>
        </w:rPr>
        <w:tab/>
        <w:t>£</w:t>
      </w:r>
      <w:r w:rsidRPr="002A4478">
        <w:rPr>
          <w:rFonts w:cs="Times New Roman"/>
          <w:noProof/>
          <w:color w:val="7C848A"/>
          <w:szCs w:val="16"/>
        </w:rPr>
        <w:t>37.1</w:t>
      </w:r>
      <w:r w:rsidRPr="002A4478">
        <w:rPr>
          <w:rFonts w:cs="Times New Roman"/>
          <w:color w:val="7C848A"/>
          <w:szCs w:val="16"/>
        </w:rPr>
        <w:t xml:space="preserve"> million plus </w:t>
      </w:r>
      <w:r w:rsidRPr="002A4478">
        <w:rPr>
          <w:rFonts w:cs="Times New Roman"/>
          <w:noProof/>
          <w:color w:val="7C848A"/>
          <w:szCs w:val="16"/>
        </w:rPr>
        <w:t>0.7</w:t>
      </w:r>
      <w:r w:rsidRPr="002A4478">
        <w:rPr>
          <w:rFonts w:cs="Times New Roman"/>
          <w:color w:val="7C848A"/>
          <w:szCs w:val="16"/>
        </w:rPr>
        <w:t>% of pensionable pay</w:t>
      </w:r>
    </w:p>
    <w:p w:rsidR="00FF6F6A" w:rsidRPr="002A4478" w:rsidRDefault="0023599A" w:rsidP="00FF6F6A">
      <w:pPr>
        <w:pStyle w:val="ListNumber"/>
        <w:numPr>
          <w:ilvl w:val="0"/>
          <w:numId w:val="0"/>
        </w:numPr>
        <w:rPr>
          <w:rFonts w:cs="Times New Roman"/>
          <w:color w:val="7C848A"/>
          <w:szCs w:val="16"/>
        </w:rPr>
      </w:pPr>
      <w:r w:rsidRPr="002A4478">
        <w:rPr>
          <w:rFonts w:cs="Times New Roman"/>
          <w:color w:val="7C848A"/>
          <w:szCs w:val="16"/>
        </w:rPr>
        <w:t>2019/20</w:t>
      </w:r>
      <w:r w:rsidRPr="002A4478">
        <w:rPr>
          <w:rFonts w:cs="Times New Roman"/>
          <w:color w:val="7C848A"/>
          <w:szCs w:val="16"/>
        </w:rPr>
        <w:tab/>
        <w:t>£</w:t>
      </w:r>
      <w:r w:rsidRPr="002A4478">
        <w:rPr>
          <w:rFonts w:cs="Times New Roman"/>
          <w:noProof/>
          <w:color w:val="7C848A"/>
          <w:szCs w:val="16"/>
        </w:rPr>
        <w:t>38.1</w:t>
      </w:r>
      <w:r w:rsidRPr="002A4478">
        <w:rPr>
          <w:rFonts w:cs="Times New Roman"/>
          <w:color w:val="7C848A"/>
          <w:szCs w:val="16"/>
        </w:rPr>
        <w:t xml:space="preserve"> million plus </w:t>
      </w:r>
      <w:r w:rsidRPr="002A4478">
        <w:rPr>
          <w:rFonts w:cs="Times New Roman"/>
          <w:noProof/>
          <w:color w:val="7C848A"/>
          <w:szCs w:val="16"/>
        </w:rPr>
        <w:t>0.9</w:t>
      </w:r>
      <w:r w:rsidRPr="002A4478">
        <w:rPr>
          <w:rFonts w:cs="Times New Roman"/>
          <w:color w:val="7C848A"/>
          <w:szCs w:val="16"/>
        </w:rPr>
        <w:t>% of pensionable pay</w:t>
      </w:r>
    </w:p>
    <w:p w:rsidR="00FF6F6A" w:rsidRPr="002A4478" w:rsidRDefault="00FF6F6A" w:rsidP="00FF6F6A">
      <w:pPr>
        <w:pStyle w:val="ListNumber"/>
        <w:numPr>
          <w:ilvl w:val="0"/>
          <w:numId w:val="0"/>
        </w:numPr>
        <w:rPr>
          <w:rFonts w:cs="Times New Roman"/>
          <w:color w:val="7C848A"/>
          <w:szCs w:val="16"/>
        </w:rPr>
      </w:pPr>
    </w:p>
    <w:p w:rsidR="00FF6F6A" w:rsidRPr="002A4478" w:rsidRDefault="0023599A" w:rsidP="00FF6F6A">
      <w:r w:rsidRPr="002A4478">
        <w:t xml:space="preserve">The secondary rate of contribution for each employer for each of the three years beginning 1 April 2017 is set out in the attached schedule.  </w:t>
      </w:r>
    </w:p>
    <w:p w:rsidR="00FF6F6A" w:rsidRPr="002A4478" w:rsidRDefault="0023599A" w:rsidP="00FF6F6A">
      <w:pPr>
        <w:pStyle w:val="AppendixSubtitle"/>
      </w:pPr>
      <w:bookmarkStart w:id="10" w:name="_Toc478746249"/>
      <w:r w:rsidRPr="002A4478">
        <w:t>Contribution amounts payable</w:t>
      </w:r>
      <w:bookmarkEnd w:id="10"/>
    </w:p>
    <w:p w:rsidR="00FF6F6A" w:rsidRPr="002A4478" w:rsidRDefault="0023599A" w:rsidP="00FF6F6A">
      <w:r w:rsidRPr="002A4478">
        <w:t>The total contribution payable for each employer is the total of the primary and secondary rates as detailed in the attached schedule.  Contributions will be paid monthly in arrears with each payment normally being due by the 19th of the following month (or the 22nd if paid electronically) unless otherwise noted in the schedule.</w:t>
      </w:r>
    </w:p>
    <w:p w:rsidR="00FF6F6A" w:rsidRPr="002A4478" w:rsidRDefault="0023599A" w:rsidP="00FF6F6A">
      <w:pPr>
        <w:pStyle w:val="AppendixSubtitle"/>
      </w:pPr>
      <w:bookmarkStart w:id="11" w:name="_Toc478746250"/>
      <w:r w:rsidRPr="002A4478">
        <w:t>Further adjustments</w:t>
      </w:r>
      <w:bookmarkEnd w:id="11"/>
    </w:p>
    <w:p w:rsidR="00FF6F6A" w:rsidRPr="002A4478" w:rsidRDefault="0023599A" w:rsidP="00FF6F6A">
      <w:r w:rsidRPr="002A4478">
        <w:t>A further individual adjustment shall be applied in respect of each non-ill health early retirement occurring in the period of three years covered by this certificate. This further individual adjustment will be calculated in accordance with methods agreed from time to time between the Fund’s Actuary and the Administering Authority.</w:t>
      </w:r>
    </w:p>
    <w:p w:rsidR="00FF6F6A" w:rsidRPr="002A4478" w:rsidRDefault="0023599A" w:rsidP="00FF6F6A">
      <w:r w:rsidRPr="002A4478">
        <w:t>The contributions set out in the attached schedule represent the minimum contribution which may be paid by each employer in total over the 3 years covered by the certificate.  Additional contributions or a different pattern of contributions may be paid if requested by the employer concerned at the sole discretion of the Administering Authority as agreed with the Actuary.  The total contributions payable by each employer will be subject to a minimum of zero.</w:t>
      </w:r>
    </w:p>
    <w:p w:rsidR="00FF6F6A" w:rsidRPr="002A4478" w:rsidRDefault="00FF6F6A" w:rsidP="00FF6F6A">
      <w:pPr>
        <w:pStyle w:val="NormalIndent2"/>
        <w:ind w:left="0"/>
        <w:rPr>
          <w:rFonts w:cs="Times New Roman"/>
          <w:color w:val="7C848A"/>
        </w:rPr>
      </w:pPr>
    </w:p>
    <w:p w:rsidR="00FF6F6A" w:rsidRPr="002A4478" w:rsidRDefault="0023599A" w:rsidP="00FF6F6A">
      <w:r w:rsidRPr="002A4478">
        <w:t>The individual employer contributions may be varied as agreed by the Actuary and Administering Authority to reflect any changes in contribution requirements as a result of any benefit costs being insured with a third party or parties including where the third party or parties participate in the Fund.</w:t>
      </w:r>
    </w:p>
    <w:p w:rsidR="00FF6F6A" w:rsidRPr="002A4478" w:rsidRDefault="0023599A" w:rsidP="00FF6F6A">
      <w:r w:rsidRPr="002A4478">
        <w:t>In cases where an element of an existing Scheme employer's deficit is transferred to a new employer on its inception, the Scheme employer's deficit recovery contributions, as shown on the schedule to this Certificate in Appendix H, may be reallocated between the Scheme employer and the new employer to reflect this, on advice of the Actuary and as agreed with the Administering Authority so that the total payments remain the same overall.</w:t>
      </w:r>
    </w:p>
    <w:p w:rsidR="00FF6F6A" w:rsidRPr="002A4478" w:rsidRDefault="0023599A" w:rsidP="00FF6F6A">
      <w:r w:rsidRPr="002A4478">
        <w:t>The Administering Authority and employer with advice from the Fund’s Actuary can agree that contributions payable under this certificate can be sourced under an alternative financing arrangement which provides the Fund with equivalent cash contributions.</w:t>
      </w:r>
    </w:p>
    <w:p w:rsidR="00FF6F6A" w:rsidRPr="002A4478" w:rsidRDefault="0023599A" w:rsidP="00FF6F6A">
      <w:pPr>
        <w:pStyle w:val="AppendixSubtitle"/>
      </w:pPr>
      <w:bookmarkStart w:id="12" w:name="_Toc478746251"/>
      <w:r w:rsidRPr="002A4478">
        <w:t>Regulation 62(8)</w:t>
      </w:r>
      <w:bookmarkEnd w:id="12"/>
    </w:p>
    <w:p w:rsidR="00FF6F6A" w:rsidRPr="002A4478" w:rsidRDefault="0023599A" w:rsidP="00FF6F6A">
      <w:r w:rsidRPr="002A4478">
        <w:t>No allowance for non-ill health early retirements has been made in determining the results of the valuation, on the basis that the costs arising will be met by additional contributions.  Allowance for ill health retirements has been included in each employer’s contribution rate, on the basis of the method and assumptions set out in the report.</w:t>
      </w:r>
    </w:p>
    <w:p w:rsidR="00FF6F6A" w:rsidRPr="002A4478" w:rsidRDefault="00FF6F6A" w:rsidP="00FF6F6A">
      <w:pPr>
        <w:spacing w:after="0"/>
      </w:pPr>
    </w:p>
    <w:p w:rsidR="00FF6F6A" w:rsidRPr="002A4478" w:rsidRDefault="00FF6F6A" w:rsidP="00FF6F6A">
      <w:pPr>
        <w:spacing w:after="0"/>
      </w:pPr>
    </w:p>
    <w:p w:rsidR="00FF6F6A" w:rsidRPr="002A4478" w:rsidRDefault="0023599A" w:rsidP="00FF6F6A">
      <w:pPr>
        <w:spacing w:after="0"/>
        <w:rPr>
          <w:b/>
        </w:rPr>
      </w:pPr>
      <w:r w:rsidRPr="002A4478">
        <w:rPr>
          <w:b/>
        </w:rPr>
        <w:t>Signature:</w:t>
      </w:r>
      <w:r w:rsidRPr="002A4478">
        <w:rPr>
          <w:b/>
        </w:rPr>
        <w:tab/>
      </w:r>
      <w:r w:rsidRPr="002A4478">
        <w:rPr>
          <w:b/>
        </w:rPr>
        <w:tab/>
      </w:r>
      <w:r w:rsidRPr="002A4478">
        <w:rPr>
          <w:noProof/>
          <w:lang w:eastAsia="en-GB"/>
        </w:rPr>
        <w:drawing>
          <wp:inline distT="0" distB="0" distL="0" distR="0" wp14:anchorId="37F00FFB" wp14:editId="0FA1D38C">
            <wp:extent cx="1026028" cy="1033153"/>
            <wp:effectExtent l="0" t="0" r="3175" b="0"/>
            <wp:docPr id="55" name="Picture 55" descr="sp0103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01032005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8194" t="67462" r="52289" b="18644"/>
                    <a:stretch>
                      <a:fillRect/>
                    </a:stretch>
                  </pic:blipFill>
                  <pic:spPr bwMode="auto">
                    <a:xfrm>
                      <a:off x="0" y="0"/>
                      <a:ext cx="1028700" cy="1035844"/>
                    </a:xfrm>
                    <a:prstGeom prst="rect">
                      <a:avLst/>
                    </a:prstGeom>
                    <a:noFill/>
                    <a:ln>
                      <a:noFill/>
                    </a:ln>
                    <a:extLst>
                      <a:ext uri="{53640926-AAD7-44D8-BBD7-CCE9431645EC}">
                        <a14:shadowObscured xmlns:a14="http://schemas.microsoft.com/office/drawing/2010/main"/>
                      </a:ext>
                    </a:extLst>
                  </pic:spPr>
                </pic:pic>
              </a:graphicData>
            </a:graphic>
          </wp:inline>
        </w:drawing>
      </w:r>
      <w:r w:rsidRPr="002A4478">
        <w:rPr>
          <w:b/>
        </w:rPr>
        <w:tab/>
      </w:r>
      <w:r w:rsidRPr="002A4478">
        <w:rPr>
          <w:b/>
        </w:rPr>
        <w:tab/>
        <w:t xml:space="preserve">           Signature:</w:t>
      </w:r>
      <w:r w:rsidRPr="002A4478">
        <w:rPr>
          <w:b/>
        </w:rPr>
        <w:tab/>
      </w:r>
      <w:r w:rsidRPr="002A4478">
        <w:rPr>
          <w:noProof/>
          <w:lang w:eastAsia="en-GB"/>
        </w:rPr>
        <w:drawing>
          <wp:inline distT="0" distB="0" distL="0" distR="0" wp14:anchorId="4E3D60A6" wp14:editId="23B1A263">
            <wp:extent cx="1626918" cy="855023"/>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6143" t="36102" r="36501" b="40895"/>
                    <a:stretch>
                      <a:fillRect/>
                    </a:stretch>
                  </pic:blipFill>
                  <pic:spPr bwMode="auto">
                    <a:xfrm>
                      <a:off x="0" y="0"/>
                      <a:ext cx="1625943" cy="854511"/>
                    </a:xfrm>
                    <a:prstGeom prst="rect">
                      <a:avLst/>
                    </a:prstGeom>
                    <a:ln>
                      <a:noFill/>
                    </a:ln>
                    <a:extLst>
                      <a:ext uri="{53640926-AAD7-44D8-BBD7-CCE9431645EC}">
                        <a14:shadowObscured xmlns:a14="http://schemas.microsoft.com/office/drawing/2010/main"/>
                      </a:ext>
                    </a:extLst>
                  </pic:spPr>
                </pic:pic>
              </a:graphicData>
            </a:graphic>
          </wp:inline>
        </w:drawing>
      </w:r>
      <w:r w:rsidRPr="002A4478">
        <w:rPr>
          <w:b/>
        </w:rPr>
        <w:tab/>
      </w:r>
      <w:r w:rsidRPr="002A4478">
        <w:rPr>
          <w:b/>
        </w:rPr>
        <w:tab/>
        <w:t xml:space="preserve">  </w:t>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p>
    <w:p w:rsidR="00FF6F6A" w:rsidRPr="002A4478" w:rsidRDefault="0023599A" w:rsidP="00FF6F6A">
      <w:pPr>
        <w:spacing w:after="0"/>
        <w:rPr>
          <w:b/>
        </w:rPr>
      </w:pPr>
      <w:r w:rsidRPr="002A4478">
        <w:rPr>
          <w:b/>
        </w:rPr>
        <w:t xml:space="preserve">  </w:t>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p>
    <w:p w:rsidR="00FF6F6A" w:rsidRPr="002A4478" w:rsidRDefault="00FF6F6A" w:rsidP="00FF6F6A">
      <w:pPr>
        <w:spacing w:after="0"/>
        <w:rPr>
          <w:b/>
        </w:rPr>
      </w:pPr>
    </w:p>
    <w:p w:rsidR="00FF6F6A" w:rsidRPr="002A4478" w:rsidRDefault="00FF6F6A" w:rsidP="00FF6F6A">
      <w:pPr>
        <w:spacing w:after="0"/>
        <w:rPr>
          <w:b/>
        </w:rPr>
      </w:pPr>
    </w:p>
    <w:p w:rsidR="00FF6F6A" w:rsidRPr="002A4478" w:rsidRDefault="0023599A" w:rsidP="00FF6F6A">
      <w:pPr>
        <w:spacing w:after="0"/>
      </w:pPr>
      <w:r w:rsidRPr="002A4478">
        <w:rPr>
          <w:b/>
        </w:rPr>
        <w:t>Name:</w:t>
      </w:r>
      <w:r w:rsidRPr="002A4478">
        <w:tab/>
        <w:t xml:space="preserve">  </w:t>
      </w:r>
      <w:r w:rsidRPr="002A4478">
        <w:tab/>
        <w:t xml:space="preserve"> John Livesey</w:t>
      </w:r>
      <w:r w:rsidRPr="002A4478">
        <w:tab/>
      </w:r>
      <w:r w:rsidRPr="002A4478">
        <w:tab/>
      </w:r>
      <w:r w:rsidRPr="002A4478">
        <w:tab/>
      </w:r>
      <w:r w:rsidRPr="002A4478">
        <w:rPr>
          <w:b/>
        </w:rPr>
        <w:t>Name:</w:t>
      </w:r>
      <w:r w:rsidRPr="002A4478">
        <w:tab/>
        <w:t>Mark Wilson</w:t>
      </w:r>
      <w:r w:rsidRPr="002A4478">
        <w:tab/>
      </w:r>
    </w:p>
    <w:p w:rsidR="00FF6F6A" w:rsidRPr="002A4478" w:rsidRDefault="00FF6F6A" w:rsidP="00FF6F6A">
      <w:pPr>
        <w:spacing w:after="0"/>
      </w:pPr>
    </w:p>
    <w:p w:rsidR="00FF6F6A" w:rsidRPr="002A4478" w:rsidRDefault="0023599A" w:rsidP="00FF6F6A">
      <w:pPr>
        <w:spacing w:after="0"/>
      </w:pPr>
      <w:r w:rsidRPr="002A4478">
        <w:rPr>
          <w:b/>
        </w:rPr>
        <w:t xml:space="preserve">Qualification: </w:t>
      </w:r>
      <w:r w:rsidRPr="002A4478">
        <w:rPr>
          <w:b/>
        </w:rPr>
        <w:tab/>
        <w:t xml:space="preserve"> </w:t>
      </w:r>
      <w:r w:rsidRPr="002A4478">
        <w:t xml:space="preserve">Fellow of the Institute </w:t>
      </w:r>
      <w:r w:rsidRPr="002A4478">
        <w:tab/>
      </w:r>
      <w:r w:rsidRPr="002A4478">
        <w:tab/>
      </w:r>
      <w:r w:rsidRPr="002A4478">
        <w:rPr>
          <w:b/>
        </w:rPr>
        <w:t>Qualification:</w:t>
      </w:r>
      <w:r w:rsidRPr="002A4478">
        <w:rPr>
          <w:b/>
        </w:rPr>
        <w:tab/>
      </w:r>
      <w:r w:rsidRPr="002A4478">
        <w:t>Fellow of the Institute</w:t>
      </w:r>
    </w:p>
    <w:p w:rsidR="00FF6F6A" w:rsidRPr="002A4478" w:rsidRDefault="0023599A" w:rsidP="00FF6F6A">
      <w:pPr>
        <w:spacing w:after="0"/>
        <w:ind w:left="1440"/>
      </w:pPr>
      <w:r w:rsidRPr="002A4478">
        <w:t xml:space="preserve">   </w:t>
      </w:r>
      <w:r w:rsidRPr="002A4478">
        <w:tab/>
        <w:t xml:space="preserve">and Faculty of Actuaries </w:t>
      </w:r>
      <w:r w:rsidRPr="002A4478">
        <w:tab/>
      </w:r>
      <w:r w:rsidRPr="002A4478">
        <w:tab/>
      </w:r>
      <w:r w:rsidRPr="002A4478">
        <w:tab/>
      </w:r>
      <w:r w:rsidRPr="002A4478">
        <w:tab/>
      </w:r>
      <w:r w:rsidRPr="002A4478">
        <w:tab/>
        <w:t>and Faculty of Actuaries</w:t>
      </w:r>
    </w:p>
    <w:p w:rsidR="00FF6F6A" w:rsidRPr="002A4478" w:rsidRDefault="00FF6F6A" w:rsidP="00FF6F6A">
      <w:pPr>
        <w:spacing w:after="0"/>
        <w:rPr>
          <w:b/>
        </w:rPr>
      </w:pPr>
    </w:p>
    <w:p w:rsidR="00FF6F6A" w:rsidRPr="002A4478" w:rsidRDefault="00FF6F6A" w:rsidP="00FF6F6A">
      <w:pPr>
        <w:spacing w:after="0"/>
        <w:rPr>
          <w:b/>
        </w:rPr>
      </w:pPr>
    </w:p>
    <w:p w:rsidR="00FF6F6A" w:rsidRPr="002A4478" w:rsidRDefault="0023599A" w:rsidP="00FF6F6A">
      <w:pPr>
        <w:spacing w:after="0"/>
      </w:pPr>
      <w:r w:rsidRPr="002A4478">
        <w:rPr>
          <w:b/>
        </w:rPr>
        <w:t>Date of signing:</w:t>
      </w:r>
      <w:r w:rsidRPr="002A4478">
        <w:rPr>
          <w:b/>
        </w:rPr>
        <w:tab/>
      </w:r>
      <w:r w:rsidRPr="002A4478">
        <w:t>31 March 2017</w:t>
      </w:r>
    </w:p>
    <w:p w:rsidR="00FF6F6A" w:rsidRPr="005B1DC3" w:rsidRDefault="00FF6F6A" w:rsidP="00FF6F6A">
      <w:pPr>
        <w:autoSpaceDE/>
        <w:autoSpaceDN/>
        <w:adjustRightInd/>
        <w:spacing w:after="0"/>
        <w:jc w:val="left"/>
        <w:rPr>
          <w:highlight w:val="yellow"/>
        </w:rPr>
        <w:sectPr w:rsidR="00FF6F6A" w:rsidRPr="005B1DC3" w:rsidSect="00FF6F6A">
          <w:headerReference w:type="even" r:id="rId46"/>
          <w:pgSz w:w="11900" w:h="16840" w:code="9"/>
          <w:pgMar w:top="720" w:right="720" w:bottom="720" w:left="720" w:header="284" w:footer="284" w:gutter="0"/>
          <w:cols w:space="292"/>
          <w:docGrid w:linePitch="326"/>
        </w:sectPr>
      </w:pPr>
    </w:p>
    <w:p w:rsidR="00FF6F6A" w:rsidRPr="00FA67E5" w:rsidRDefault="00FF6F6A" w:rsidP="00FF6F6A">
      <w:pPr>
        <w:autoSpaceDE/>
        <w:autoSpaceDN/>
        <w:adjustRightInd/>
        <w:spacing w:after="0"/>
        <w:jc w:val="left"/>
        <w:rPr>
          <w:highlight w:val="yellow"/>
        </w:rPr>
      </w:pPr>
    </w:p>
    <w:p w:rsidR="00FF6F6A" w:rsidRDefault="0023599A" w:rsidP="00FF6F6A">
      <w:pPr>
        <w:pStyle w:val="AppendixTitle"/>
      </w:pPr>
      <w:bookmarkStart w:id="13" w:name="_Toc478746252"/>
      <w:r>
        <w:t>Schedule to the rates and adjustments c</w:t>
      </w:r>
      <w:r w:rsidRPr="00AB6B36">
        <w:t xml:space="preserve">ertificate dated 31 March </w:t>
      </w:r>
      <w:bookmarkEnd w:id="13"/>
      <w:r w:rsidR="00CF0F04" w:rsidRPr="00AB6B36">
        <w:t>201</w:t>
      </w:r>
      <w:r w:rsidR="00CF0F04">
        <w:t>7</w:t>
      </w:r>
    </w:p>
    <w:tbl>
      <w:tblPr>
        <w:tblW w:w="15298" w:type="dxa"/>
        <w:tblInd w:w="-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2" w:type="dxa"/>
          <w:right w:w="72" w:type="dxa"/>
        </w:tblCellMar>
        <w:tblLook w:val="01E0" w:firstRow="1" w:lastRow="1" w:firstColumn="1" w:lastColumn="1" w:noHBand="0" w:noVBand="0"/>
      </w:tblPr>
      <w:tblGrid>
        <w:gridCol w:w="3200"/>
        <w:gridCol w:w="1382"/>
        <w:gridCol w:w="1786"/>
        <w:gridCol w:w="1786"/>
        <w:gridCol w:w="1786"/>
        <w:gridCol w:w="1786"/>
        <w:gridCol w:w="1786"/>
        <w:gridCol w:w="1786"/>
      </w:tblGrid>
      <w:tr w:rsidR="00D41D59" w:rsidTr="00FF6F6A">
        <w:trPr>
          <w:cantSplit/>
          <w:tblHeader/>
        </w:trPr>
        <w:tc>
          <w:tcPr>
            <w:tcW w:w="3200" w:type="dxa"/>
            <w:vMerge w:val="restart"/>
            <w:tcBorders>
              <w:top w:val="single" w:sz="8" w:space="0" w:color="auto"/>
              <w:left w:val="single" w:sz="8" w:space="0" w:color="auto"/>
              <w:bottom w:val="single" w:sz="8" w:space="0" w:color="auto"/>
              <w:right w:val="single" w:sz="8" w:space="0" w:color="auto"/>
            </w:tcBorders>
            <w:shd w:val="clear" w:color="auto" w:fill="ED7D31" w:themeFill="accent2"/>
            <w:vAlign w:val="bottom"/>
            <w:hideMark/>
          </w:tcPr>
          <w:p w:rsidR="00FF6F6A" w:rsidRPr="00A43058" w:rsidRDefault="0023599A" w:rsidP="00FF6F6A">
            <w:pPr>
              <w:pStyle w:val="TableText"/>
              <w:spacing w:after="0"/>
              <w:rPr>
                <w:rFonts w:asciiTheme="minorHAnsi" w:hAnsiTheme="minorHAnsi" w:cstheme="minorHAnsi"/>
                <w:b/>
                <w:color w:val="FFFFFF" w:themeColor="background1"/>
              </w:rPr>
            </w:pPr>
            <w:r w:rsidRPr="00A43058">
              <w:rPr>
                <w:rFonts w:asciiTheme="minorHAnsi" w:hAnsiTheme="minorHAnsi" w:cstheme="minorHAnsi"/>
                <w:b/>
                <w:color w:val="FFFFFF" w:themeColor="background1"/>
              </w:rPr>
              <w:t>Employer</w:t>
            </w:r>
          </w:p>
        </w:tc>
        <w:tc>
          <w:tcPr>
            <w:tcW w:w="1382" w:type="dxa"/>
            <w:vMerge w:val="restart"/>
            <w:tcBorders>
              <w:top w:val="single" w:sz="8" w:space="0" w:color="auto"/>
              <w:left w:val="single" w:sz="8" w:space="0" w:color="auto"/>
              <w:bottom w:val="single" w:sz="8" w:space="0" w:color="auto"/>
              <w:right w:val="single" w:sz="8" w:space="0" w:color="auto"/>
            </w:tcBorders>
            <w:shd w:val="clear" w:color="auto" w:fill="ED7D31" w:themeFill="accent2"/>
            <w:hideMark/>
          </w:tcPr>
          <w:p w:rsidR="00FF6F6A" w:rsidRPr="00A43058" w:rsidRDefault="0023599A"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Primary rate 2017/18 to 2019/20</w:t>
            </w:r>
          </w:p>
        </w:tc>
        <w:tc>
          <w:tcPr>
            <w:tcW w:w="5358" w:type="dxa"/>
            <w:gridSpan w:val="3"/>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rsidR="00FF6F6A" w:rsidRPr="00A43058" w:rsidRDefault="0023599A"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Secondary rates</w:t>
            </w:r>
          </w:p>
        </w:tc>
        <w:tc>
          <w:tcPr>
            <w:tcW w:w="5358" w:type="dxa"/>
            <w:gridSpan w:val="3"/>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rsidR="00FF6F6A" w:rsidRPr="00A43058" w:rsidRDefault="0023599A"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Total Contribution rates</w:t>
            </w:r>
          </w:p>
        </w:tc>
      </w:tr>
      <w:tr w:rsidR="00D41D59" w:rsidTr="00FF6F6A">
        <w:trPr>
          <w:cantSplit/>
          <w:trHeight w:val="599"/>
          <w:tblHeader/>
        </w:trPr>
        <w:tc>
          <w:tcPr>
            <w:tcW w:w="3200" w:type="dxa"/>
            <w:vMerge/>
            <w:tcBorders>
              <w:top w:val="single" w:sz="8" w:space="0" w:color="auto"/>
              <w:left w:val="single" w:sz="8" w:space="0" w:color="auto"/>
              <w:bottom w:val="single" w:sz="8" w:space="0" w:color="auto"/>
              <w:right w:val="single" w:sz="8" w:space="0" w:color="auto"/>
            </w:tcBorders>
            <w:vAlign w:val="center"/>
            <w:hideMark/>
          </w:tcPr>
          <w:p w:rsidR="00FF6F6A" w:rsidRPr="00A43058" w:rsidRDefault="00FF6F6A" w:rsidP="00FF6F6A">
            <w:pPr>
              <w:spacing w:after="0"/>
              <w:rPr>
                <w:rFonts w:asciiTheme="minorHAnsi" w:hAnsiTheme="minorHAnsi" w:cstheme="minorHAnsi"/>
                <w:b/>
                <w:color w:val="FFFFFF" w:themeColor="background1"/>
                <w:sz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FF6F6A" w:rsidRPr="00A43058" w:rsidRDefault="00FF6F6A" w:rsidP="00FF6F6A">
            <w:pPr>
              <w:spacing w:after="0"/>
              <w:rPr>
                <w:rFonts w:asciiTheme="minorHAnsi" w:hAnsiTheme="minorHAnsi" w:cstheme="minorHAnsi"/>
                <w:b/>
                <w:color w:val="auto"/>
                <w:sz w:val="20"/>
              </w:rPr>
            </w:pP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23599A"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2017/18</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23599A"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2018/19</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23599A"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2019/20</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23599A"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2017/18</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23599A"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2018/19</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FF6F6A" w:rsidRPr="00A43058" w:rsidRDefault="0023599A" w:rsidP="00FF6F6A">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2019/20</w:t>
            </w:r>
          </w:p>
        </w:tc>
      </w:tr>
      <w:tr w:rsidR="00D41D59" w:rsidTr="00FF6F6A">
        <w:trPr>
          <w:cantSplit/>
          <w:trHeight w:val="313"/>
        </w:trPr>
        <w:tc>
          <w:tcPr>
            <w:tcW w:w="15298" w:type="dxa"/>
            <w:gridSpan w:val="8"/>
            <w:tcBorders>
              <w:top w:val="single" w:sz="8" w:space="0" w:color="auto"/>
              <w:left w:val="single" w:sz="8" w:space="0" w:color="auto"/>
              <w:bottom w:val="single" w:sz="8" w:space="0" w:color="auto"/>
              <w:right w:val="single" w:sz="8" w:space="0" w:color="auto"/>
            </w:tcBorders>
            <w:shd w:val="clear" w:color="auto" w:fill="ED7D31" w:themeFill="accent2"/>
            <w:vAlign w:val="bottom"/>
          </w:tcPr>
          <w:p w:rsidR="00FF6F6A" w:rsidRPr="00A43058" w:rsidRDefault="0023599A" w:rsidP="00FF6F6A">
            <w:pPr>
              <w:spacing w:after="0"/>
              <w:jc w:val="center"/>
              <w:rPr>
                <w:rFonts w:asciiTheme="minorHAnsi" w:hAnsiTheme="minorHAnsi" w:cstheme="minorHAnsi"/>
                <w:b/>
                <w:sz w:val="20"/>
              </w:rPr>
            </w:pPr>
            <w:r w:rsidRPr="00A43058">
              <w:rPr>
                <w:rFonts w:asciiTheme="minorHAnsi" w:hAnsiTheme="minorHAnsi" w:cstheme="minorHAnsi"/>
                <w:b/>
                <w:color w:val="FFFFFF" w:themeColor="background1"/>
                <w:sz w:val="20"/>
              </w:rPr>
              <w:t>Major authorities</w:t>
            </w:r>
          </w:p>
        </w:tc>
      </w:tr>
      <w:tr w:rsidR="00D41D59" w:rsidTr="00FF6F6A">
        <w:trPr>
          <w:cantSplit/>
          <w:trHeight w:val="545"/>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with Darwen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£4,857,500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£4,857,500</w:t>
            </w:r>
          </w:p>
        </w:tc>
      </w:tr>
      <w:tr w:rsidR="00D41D59" w:rsidTr="00FF6F6A">
        <w:trPr>
          <w:cantSplit/>
          <w:trHeight w:val="543"/>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*£3,315,200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*£4,087,500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*£4,501,400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*£3,315,200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*£4,087,500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*£4,501,400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Burnley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*£1,379,800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*£1,370,600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*£1,379,800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*£1,370,600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*£1,361,400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Chorley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£790,500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£840,500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£966,300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 plus £790,500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 plus £840,500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 plus £966,300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Fylde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*£583,800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*£576,000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 plus *£583,800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 plus *£579,900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 plus *£576,000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Hyndburn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Chief Constable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**£1,926,700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**£1,791,700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**£1,858,000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**£1,926,700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County Council - excluding schools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*£9,534,200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*£9,470,300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*£9,406,900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*£9,534,200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*£9,470,300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*£9,406,900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County Council schools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Fire &amp; Rescue Service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***(£312,700)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***(£336,300)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less ***£312,700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less ***£324,300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less ***£336,300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City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*£945,900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*£939,600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*£933,300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*£945,900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*£939,600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*£933,300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*£1,219,900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*£1,203,600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*£1,219,900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*£1,211,700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*£1,203,600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City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*£1,409,100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*£1,409,100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*£1,399,700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*£1,390,300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Ribble Valley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 plus **£173,500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 plus **£179,900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 plus **£186,500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*£996,900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*£990,200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*£983,600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 plus *£996,900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 plus *£990,200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 plus *£983,600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South Ribble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**£567,500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**£588,400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**£547,200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**£567,500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**£588,400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West Lancashire District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*£985,600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*£979,000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*£972,400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*£985,600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*£979,000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*£972,400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Wyre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*£707,700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*£702,900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*£698,200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 plus *£707,700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 plus *£702,900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 plus *£698,200</w:t>
            </w:r>
          </w:p>
        </w:tc>
      </w:tr>
      <w:tr w:rsidR="00D41D59"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Pr="00A43058" w:rsidRDefault="00FF6F6A" w:rsidP="00FF6F6A">
            <w:pPr>
              <w:spacing w:after="0"/>
              <w:jc w:val="center"/>
              <w:rPr>
                <w:rFonts w:asciiTheme="minorHAnsi" w:hAnsiTheme="minorHAnsi" w:cstheme="minorHAnsi"/>
                <w:b/>
                <w:color w:val="FFFFFF" w:themeColor="background1"/>
                <w:sz w:val="20"/>
              </w:rPr>
            </w:pPr>
          </w:p>
          <w:p w:rsidR="00FF6F6A" w:rsidRPr="00A43058" w:rsidRDefault="00FF6F6A" w:rsidP="00FF6F6A">
            <w:pPr>
              <w:spacing w:after="0"/>
              <w:jc w:val="center"/>
              <w:rPr>
                <w:rFonts w:asciiTheme="minorHAnsi" w:hAnsiTheme="minorHAnsi" w:cstheme="minorHAnsi"/>
                <w:b/>
                <w:color w:val="FFFFFF" w:themeColor="background1"/>
                <w:sz w:val="20"/>
              </w:rPr>
            </w:pPr>
          </w:p>
          <w:p w:rsidR="00FF6F6A" w:rsidRPr="00A43058" w:rsidRDefault="00FF6F6A" w:rsidP="00FF6F6A">
            <w:pPr>
              <w:spacing w:after="0"/>
              <w:jc w:val="center"/>
              <w:rPr>
                <w:rFonts w:asciiTheme="minorHAnsi" w:hAnsiTheme="minorHAnsi" w:cstheme="minorHAnsi"/>
                <w:b/>
                <w:color w:val="FFFFFF" w:themeColor="background1"/>
                <w:sz w:val="20"/>
              </w:rPr>
            </w:pPr>
          </w:p>
          <w:p w:rsidR="00FF6F6A" w:rsidRPr="00A43058" w:rsidRDefault="00FF6F6A" w:rsidP="00FF6F6A">
            <w:pPr>
              <w:spacing w:after="0"/>
              <w:jc w:val="center"/>
              <w:rPr>
                <w:rFonts w:asciiTheme="minorHAnsi" w:hAnsiTheme="minorHAnsi" w:cstheme="minorHAnsi"/>
                <w:b/>
                <w:color w:val="FFFFFF" w:themeColor="background1"/>
                <w:sz w:val="20"/>
              </w:rPr>
            </w:pPr>
          </w:p>
        </w:tc>
      </w:tr>
      <w:tr w:rsidR="00D41D59"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jc w:val="center"/>
              <w:rPr>
                <w:rFonts w:asciiTheme="minorHAnsi" w:hAnsiTheme="minorHAnsi" w:cstheme="minorHAnsi"/>
                <w:color w:val="FFFFFF" w:themeColor="background1"/>
                <w:sz w:val="20"/>
              </w:rPr>
            </w:pPr>
            <w:r w:rsidRPr="00A43058">
              <w:rPr>
                <w:rFonts w:asciiTheme="minorHAnsi" w:hAnsiTheme="minorHAnsi" w:cstheme="minorHAnsi"/>
                <w:b/>
                <w:color w:val="FFFFFF" w:themeColor="background1"/>
                <w:sz w:val="20"/>
              </w:rPr>
              <w:t>Other scheme employers</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Accrington &amp; Rossendale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£269,300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£279,200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£289,600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£82,800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£85,900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£89,000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St Mary's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£9,800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&amp; The Fylde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 plus £192,600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 plus £199,700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 plus £207,100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Coastal 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Housing Company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Sixth Form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Burnley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13.2% plus £124,900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13.2% plus £129,500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13.2% plus £134,300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Cardinal Newman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£49,400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£51,200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£53,100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County Councils Network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5.2%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5.2%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5.2% plus £800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Edge Hill University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£780,300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£839,100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£780,300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£809,200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£839,100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&amp; Morecambe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£121,300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£125,800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£130,400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Myerscough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£165,800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£171,900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£178,300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Nelson and Colne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£54,500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£50,700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£52,500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£54,500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Police &amp; Crime Commissioner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£4,100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13.3% plus £259,900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13.3% plus £269,500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13.3% plus £279,500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Runshaw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 plus £86,000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 plus £89,200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 plus £92,500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University of Central Lancashire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£949,800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£984,900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£949,800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£984,900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£1,021,400</w:t>
            </w:r>
          </w:p>
        </w:tc>
      </w:tr>
      <w:tr w:rsidR="00D41D59"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Pr="00A43058" w:rsidRDefault="00FF6F6A" w:rsidP="00FF6F6A">
            <w:pPr>
              <w:spacing w:after="0"/>
              <w:jc w:val="center"/>
              <w:rPr>
                <w:rFonts w:asciiTheme="minorHAnsi" w:hAnsiTheme="minorHAnsi" w:cstheme="minorHAnsi"/>
                <w:b/>
                <w:color w:val="FFFFFF" w:themeColor="background1"/>
                <w:sz w:val="20"/>
              </w:rPr>
            </w:pPr>
          </w:p>
          <w:p w:rsidR="00FF6F6A" w:rsidRPr="00A43058" w:rsidRDefault="00FF6F6A" w:rsidP="00FF6F6A">
            <w:pPr>
              <w:spacing w:after="0"/>
              <w:jc w:val="center"/>
              <w:rPr>
                <w:rFonts w:asciiTheme="minorHAnsi" w:hAnsiTheme="minorHAnsi" w:cstheme="minorHAnsi"/>
                <w:b/>
                <w:color w:val="FFFFFF" w:themeColor="background1"/>
                <w:sz w:val="20"/>
              </w:rPr>
            </w:pPr>
          </w:p>
        </w:tc>
      </w:tr>
      <w:tr w:rsidR="00D41D59"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Designated / Resolution body</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Transport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Catterall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Darwen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Garstang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Habergham Eaves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Kirkland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783CDD">
              <w:rPr>
                <w:rFonts w:asciiTheme="minorHAnsi" w:hAnsiTheme="minorHAnsi" w:cstheme="minorHAnsi"/>
                <w:color w:val="FFFFFF" w:themeColor="background1"/>
                <w:sz w:val="20"/>
              </w:rPr>
              <w:t>Lancs Sports Partnership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Marketing Lancashire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Morecambe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Old Laund Booth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Penwortham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Pilling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27.6%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27.6%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27.6% plus £100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Preesall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23.2% plus £100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Transport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w:t>
            </w:r>
            <w:r>
              <w:rPr>
                <w:rFonts w:asciiTheme="minorHAnsi" w:hAnsiTheme="minorHAnsi" w:cstheme="minorHAnsi"/>
                <w:color w:val="FFFFFF" w:themeColor="background1"/>
                <w:sz w:val="20"/>
              </w:rPr>
              <w:t>t Anne’s on Sea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 plus £1,100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 plus £1,100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 plus £1,200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The Lancashire Colleges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Whittle-le-woods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Whitworth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12.8% plus £2,200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12.8% plus £2,200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12.8% plus £2,300</w:t>
            </w:r>
          </w:p>
        </w:tc>
      </w:tr>
      <w:tr w:rsidR="00D41D59"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Default="00FF6F6A" w:rsidP="00FF6F6A">
            <w:pPr>
              <w:spacing w:after="0"/>
              <w:rPr>
                <w:rFonts w:asciiTheme="minorHAnsi" w:hAnsiTheme="minorHAnsi" w:cstheme="minorHAnsi"/>
                <w:b/>
                <w:color w:val="FFFFFF" w:themeColor="background1"/>
                <w:sz w:val="20"/>
              </w:rPr>
            </w:pPr>
          </w:p>
          <w:p w:rsidR="00FF6F6A" w:rsidRDefault="00FF6F6A" w:rsidP="00FF6F6A">
            <w:pPr>
              <w:spacing w:after="0"/>
              <w:rPr>
                <w:rFonts w:asciiTheme="minorHAnsi" w:hAnsiTheme="minorHAnsi" w:cstheme="minorHAnsi"/>
                <w:b/>
                <w:color w:val="FFFFFF" w:themeColor="background1"/>
                <w:sz w:val="20"/>
              </w:rPr>
            </w:pPr>
          </w:p>
          <w:p w:rsidR="00FF6F6A" w:rsidRDefault="00FF6F6A" w:rsidP="00FF6F6A">
            <w:pPr>
              <w:spacing w:after="0"/>
              <w:rPr>
                <w:rFonts w:asciiTheme="minorHAnsi" w:hAnsiTheme="minorHAnsi" w:cstheme="minorHAnsi"/>
                <w:b/>
                <w:color w:val="FFFFFF" w:themeColor="background1"/>
                <w:sz w:val="20"/>
              </w:rPr>
            </w:pPr>
          </w:p>
          <w:p w:rsidR="00FF6F6A" w:rsidRDefault="00FF6F6A" w:rsidP="00FF6F6A">
            <w:pPr>
              <w:spacing w:after="0"/>
              <w:rPr>
                <w:rFonts w:asciiTheme="minorHAnsi" w:hAnsiTheme="minorHAnsi" w:cstheme="minorHAnsi"/>
                <w:b/>
                <w:color w:val="FFFFFF" w:themeColor="background1"/>
                <w:sz w:val="20"/>
              </w:rPr>
            </w:pPr>
          </w:p>
          <w:p w:rsidR="00FF6F6A" w:rsidRDefault="00FF6F6A" w:rsidP="00FF6F6A">
            <w:pPr>
              <w:spacing w:after="0"/>
              <w:rPr>
                <w:rFonts w:asciiTheme="minorHAnsi" w:hAnsiTheme="minorHAnsi" w:cstheme="minorHAnsi"/>
                <w:b/>
                <w:color w:val="FFFFFF" w:themeColor="background1"/>
                <w:sz w:val="20"/>
              </w:rPr>
            </w:pPr>
          </w:p>
          <w:p w:rsidR="00FF6F6A" w:rsidRPr="00A43058" w:rsidRDefault="00FF6F6A" w:rsidP="00FF6F6A">
            <w:pPr>
              <w:spacing w:after="0"/>
              <w:rPr>
                <w:rFonts w:asciiTheme="minorHAnsi" w:hAnsiTheme="minorHAnsi" w:cstheme="minorHAnsi"/>
                <w:b/>
                <w:color w:val="FFFFFF" w:themeColor="background1"/>
                <w:sz w:val="20"/>
              </w:rPr>
            </w:pPr>
          </w:p>
          <w:p w:rsidR="00FF6F6A" w:rsidRPr="00A43058" w:rsidRDefault="00FF6F6A" w:rsidP="00FF6F6A">
            <w:pPr>
              <w:spacing w:after="0"/>
              <w:jc w:val="center"/>
              <w:rPr>
                <w:rFonts w:asciiTheme="minorHAnsi" w:hAnsiTheme="minorHAnsi" w:cstheme="minorHAnsi"/>
                <w:b/>
                <w:color w:val="FFFFFF" w:themeColor="background1"/>
                <w:sz w:val="20"/>
              </w:rPr>
            </w:pPr>
          </w:p>
        </w:tc>
      </w:tr>
      <w:tr w:rsidR="00D41D59"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Academies / schools</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Academy at Worden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£13,400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£13,900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£14,400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Accrington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11.4%</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Albany Science College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 plus £23,800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 plus £24,700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 plus £25,600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All Saints CE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 plus £16,200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 plus £16,800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 plus £17,400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Anchorsholme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 plus £34,900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 plus £36,200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 plus £37,500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ANWET - Darwen Aldridge Comm</w:t>
            </w:r>
            <w:r>
              <w:rPr>
                <w:rFonts w:asciiTheme="minorHAnsi" w:hAnsiTheme="minorHAnsi" w:cstheme="minorHAnsi"/>
                <w:color w:val="FFFFFF" w:themeColor="background1"/>
                <w:sz w:val="20"/>
              </w:rPr>
              <w:t>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ANWET - Darwen Vale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£64,600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£67,000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£69,500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ANWET - Sudell PS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19.1% plus £18,300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19.1% plus £19,000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19.1% plus £19,700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Bacup and Rawtenstall Grammar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£24,300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Belthorn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18.6% plus £7,300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18.6% plus £7,600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18.6% plus £7,900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BFET (Marton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£22,800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£23,600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£24,500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BFET (South Shore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£51,800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£51,800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Bishop Rawstorne C of E High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£29,600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£30,600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MAT (Revoe)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£47,500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£49,300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£51,100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(Christ)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£11,900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£12,300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16.3% plus £12,800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(St Cuth</w:t>
            </w:r>
            <w:r>
              <w:rPr>
                <w:rFonts w:asciiTheme="minorHAnsi" w:hAnsiTheme="minorHAnsi" w:cstheme="minorHAnsi"/>
                <w:color w:val="FFFFFF" w:themeColor="background1"/>
                <w:sz w:val="20"/>
              </w:rPr>
              <w:t>bert</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£26,800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(St Mary</w:t>
            </w:r>
            <w:r>
              <w:rPr>
                <w:rFonts w:asciiTheme="minorHAnsi" w:hAnsiTheme="minorHAnsi" w:cstheme="minorHAnsi"/>
                <w:color w:val="FFFFFF" w:themeColor="background1"/>
                <w:sz w:val="20"/>
              </w:rPr>
              <w:t>’</w:t>
            </w:r>
            <w:r w:rsidRPr="00A43058">
              <w:rPr>
                <w:rFonts w:asciiTheme="minorHAnsi" w:hAnsiTheme="minorHAnsi" w:cstheme="minorHAnsi"/>
                <w:color w:val="FFFFFF" w:themeColor="background1"/>
                <w:sz w:val="20"/>
              </w:rPr>
              <w:t>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£46,500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£50,000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Bowland High Academy Trust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£29,000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£31,200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(Marsden St John)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 plus £9,600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 plus £10,000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 plus £10,400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(Baines Endowed)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 plus £39,300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 plus £40,800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 plus £42,300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8.8% plus £2,400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Education Ltd (St Aidans)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£18,400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Education Ltd (St Barnabas)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 plus £20,100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 plus £20,800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 plus £21,600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Education Ltd (St James)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£17,300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£18,600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Clitheroe Royal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16.7% plus £58,000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16.7% plus £60,100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16.7% plus £62,400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CSCST (Burnley High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 plus £300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 plus £300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 plus £300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Devonshire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 plus £36,900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 plus £38,300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 plus £39,700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(Coal Clough)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£20,000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£20,700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£21,500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(Eden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10.7% plus £1,400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10.7% plus £1,500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10.7% plus £1,600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(Pleckgate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 plus £66,200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 plus £68,600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15.9% plus £71,200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FACT (Unity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 plus £59,500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 plus £61,700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 plus £64,000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FCAT (Aspire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17.1% plus £48,500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17.1% plus £50,300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17.1% plus £52,200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FCAT (Montgomery</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HS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£55,000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£57,000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14.3% plus £59,100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Pr>
                <w:rFonts w:asciiTheme="minorHAnsi" w:hAnsiTheme="minorHAnsi" w:cstheme="minorHAnsi"/>
                <w:color w:val="FFFFFF" w:themeColor="background1"/>
                <w:sz w:val="20"/>
              </w:rPr>
              <w:t>Fulwood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Fylde Coast Academy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 plus £1,500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 plus £1,600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 plus £1,600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Garstang Community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 plus £27,900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 plus £28,900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 plus £30,000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Hambleton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 plus £6,800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 plus £7,100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 plus £7,300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Hawe Side Primary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 plus £17,500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 plus £18,100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 plus £18,800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Hodgson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£46,700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£46,700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Care Foundation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Lancaster Girls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£41,900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£45,000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Lancaster Royal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 plus £66,500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 plus £69,000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 plus £71,500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Langdale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Lostock Hall Academy Trust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 plus £30,100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 plus £31,200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 plus £32,400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Maharishi School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Moorside Community PS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£10,800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 plus £11,600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Norbreck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 plus £18,400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 plus £19,100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 plus £19,800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Parbold Douglas CE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£10,100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£10,400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Park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13.2% plus £55,300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13.2% plus £57,300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13.2% plus £59,500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Parklands High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£25,900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 plus £27,800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 </w:t>
            </w:r>
            <w:r>
              <w:rPr>
                <w:rFonts w:asciiTheme="minorHAnsi" w:hAnsiTheme="minorHAnsi" w:cstheme="minorHAnsi"/>
                <w:color w:val="FFFFFF" w:themeColor="background1"/>
                <w:sz w:val="20"/>
              </w:rPr>
              <w:t>(</w:t>
            </w:r>
            <w:r w:rsidRPr="00A43058">
              <w:rPr>
                <w:rFonts w:asciiTheme="minorHAnsi" w:hAnsiTheme="minorHAnsi" w:cstheme="minorHAnsi"/>
                <w:color w:val="FFFFFF" w:themeColor="background1"/>
                <w:sz w:val="20"/>
              </w:rPr>
              <w:t>Colne Primet</w:t>
            </w:r>
            <w:r>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£14,200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17.5% plus £15,300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 (Castercliff)</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 plus £24,900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 plus £25,800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 plus £26,800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Education Trust (Walter Street Primary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15.5% plus £15,800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Penwortham Priory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15.4% plus £18,300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Queen Elizabeth's Grammar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£69,600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£72,200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Ripley St Thomas C of E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£43,000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£44,600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17.6% plus £46,200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Roseacre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£23,100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£24,000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£24,800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St Christopher's  C of E high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£88,000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£91,300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£94,600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Georges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£39,200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£40,700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 plus £42,200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Luke and St Philip (Acad</w:t>
            </w:r>
            <w:r>
              <w:rPr>
                <w:rFonts w:asciiTheme="minorHAnsi" w:hAnsiTheme="minorHAnsi" w:cstheme="minorHAnsi"/>
                <w:color w:val="FFFFFF" w:themeColor="background1"/>
                <w:sz w:val="20"/>
              </w:rPr>
              <w:t>emy</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plus £28,100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plus £29,100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plus £30,200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St Michael's C of E High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 plus £45,600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 plus £47,200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 plus £49,000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Wilfrid's C of 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£91,900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£95,300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 plus £98,800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Tarleton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£29,400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£30,500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 plus £31,600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Education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BS Preston)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10.8%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Birming</w:t>
            </w:r>
            <w:r>
              <w:rPr>
                <w:rFonts w:asciiTheme="minorHAnsi" w:hAnsiTheme="minorHAnsi" w:cstheme="minorHAnsi"/>
                <w:color w:val="FFFFFF" w:themeColor="background1"/>
                <w:sz w:val="20"/>
              </w:rPr>
              <w:t>ham</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Slough)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12.2%</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(Olive B</w:t>
            </w:r>
            <w:r>
              <w:rPr>
                <w:rFonts w:asciiTheme="minorHAnsi" w:hAnsiTheme="minorHAnsi" w:cstheme="minorHAnsi"/>
                <w:color w:val="FFFFFF" w:themeColor="background1"/>
                <w:sz w:val="20"/>
              </w:rPr>
              <w:t>lack</w:t>
            </w:r>
            <w:r w:rsidRPr="00A43058">
              <w:rPr>
                <w:rFonts w:asciiTheme="minorHAnsi" w:hAnsiTheme="minorHAnsi" w:cstheme="minorHAnsi"/>
                <w:color w:val="FFFFFF" w:themeColor="background1"/>
                <w:sz w:val="20"/>
              </w:rPr>
              <w:t>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(Olive London)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7.2%</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BS Bolton FS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Coventry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Waltham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11.6% plus £1,300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11.6% plus £1,300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11.6% plus £1,400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Islam Girls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 plus £19,200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Islam Boys High School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10.5%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10.5%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10.5% plus £1,000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Thames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£31,300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The Heights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£24,300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Tower MAT (B</w:t>
            </w:r>
            <w:r>
              <w:rPr>
                <w:rFonts w:asciiTheme="minorHAnsi" w:hAnsiTheme="minorHAnsi" w:cstheme="minorHAnsi"/>
                <w:color w:val="FFFFFF" w:themeColor="background1"/>
                <w:sz w:val="20"/>
              </w:rPr>
              <w:t>lack</w:t>
            </w:r>
            <w:r w:rsidRPr="00A43058">
              <w:rPr>
                <w:rFonts w:asciiTheme="minorHAnsi" w:hAnsiTheme="minorHAnsi" w:cstheme="minorHAnsi"/>
                <w:color w:val="FFFFFF" w:themeColor="background1"/>
                <w:sz w:val="20"/>
              </w:rPr>
              <w:t>pool Gateway Acad</w:t>
            </w:r>
            <w:r>
              <w:rPr>
                <w:rFonts w:asciiTheme="minorHAnsi" w:hAnsiTheme="minorHAnsi" w:cstheme="minorHAnsi"/>
                <w:color w:val="FFFFFF" w:themeColor="background1"/>
                <w:sz w:val="20"/>
              </w:rPr>
              <w:t>emy</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 plus £4,400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 plus £4,600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 plus £4,700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Waterloo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£30,900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£32,000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14.2% plus £33,200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Wensley Fold CE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 plus £29,900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 plus £31,000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14.1% plus £32,200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Westcliff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£12,600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£13,100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15.3% plus £13,500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Witton Park Academy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 plus £55,900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 plus £58,000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15.8% plus £60,100</w:t>
            </w:r>
          </w:p>
        </w:tc>
      </w:tr>
      <w:tr w:rsidR="00D41D59"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Default="00FF6F6A" w:rsidP="00FF6F6A">
            <w:pPr>
              <w:spacing w:after="0"/>
              <w:jc w:val="center"/>
              <w:rPr>
                <w:rFonts w:asciiTheme="minorHAnsi" w:hAnsiTheme="minorHAnsi" w:cstheme="minorHAnsi"/>
                <w:color w:val="FFFFFF" w:themeColor="background1"/>
                <w:sz w:val="20"/>
              </w:rPr>
            </w:pPr>
          </w:p>
          <w:p w:rsidR="00FF6F6A" w:rsidRDefault="00FF6F6A" w:rsidP="00FF6F6A">
            <w:pPr>
              <w:spacing w:after="0"/>
              <w:jc w:val="center"/>
              <w:rPr>
                <w:rFonts w:asciiTheme="minorHAnsi" w:hAnsiTheme="minorHAnsi" w:cstheme="minorHAnsi"/>
                <w:color w:val="FFFFFF" w:themeColor="background1"/>
                <w:sz w:val="20"/>
              </w:rPr>
            </w:pPr>
          </w:p>
          <w:p w:rsidR="00FF6F6A" w:rsidRPr="00A43058" w:rsidRDefault="00FF6F6A" w:rsidP="00FF6F6A">
            <w:pPr>
              <w:spacing w:after="0"/>
              <w:jc w:val="center"/>
              <w:rPr>
                <w:rFonts w:asciiTheme="minorHAnsi" w:hAnsiTheme="minorHAnsi" w:cstheme="minorHAnsi"/>
                <w:color w:val="FFFFFF" w:themeColor="background1"/>
                <w:sz w:val="20"/>
              </w:rPr>
            </w:pPr>
          </w:p>
        </w:tc>
      </w:tr>
      <w:tr w:rsidR="00D41D59"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Admitted bodies (community)</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Arnold Schools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19.4% plus £26,200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19.4% plus £27,100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19.4% plus £28,100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Fylde Wyre Blind Soc</w:t>
            </w:r>
            <w:r>
              <w:rPr>
                <w:rFonts w:asciiTheme="minorHAnsi" w:hAnsiTheme="minorHAnsi" w:cstheme="minorHAnsi"/>
                <w:color w:val="FFFFFF" w:themeColor="background1"/>
                <w:sz w:val="20"/>
              </w:rPr>
              <w:t>iety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Zoo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Fylde and Wyre Credit Union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Calico Housing Limited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£209,200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£216,900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£224,900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Catholic Caring Services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 plus £65,500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 plus £67,900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 plus £70,400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Chorley Community 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783CDD">
              <w:rPr>
                <w:rFonts w:asciiTheme="minorHAnsi" w:hAnsiTheme="minorHAnsi" w:cstheme="minorHAnsi"/>
                <w:color w:val="FFFFFF" w:themeColor="background1"/>
                <w:sz w:val="20"/>
              </w:rPr>
              <w:t>Community and Business Partners CIC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Community Council of Lancashire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19.5% plus £26,000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19.5% plus £27,500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19.5% plus £28,500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Community Gateway Association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Contour Housing Group</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Fylde Community Link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16.8% plus £11,200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16.8% plus £11,700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16.8% plus £12,100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Galloways Society for Blind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20.2% plus £16,600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20.2% plus £17,200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20.2% plus £17,800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Hyndburn Homes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Kirkham Grammar School (Independent)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 plus £29,300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 plus £30,400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 plus £31,500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County Branch Unison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University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£504,700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£542,700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 plus £504,700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 plus £523,400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 plus £542,700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Leisure in Hyndburn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 plus £47,800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 plus £49,600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 plus £51,400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Local Pensions Partnership Ltd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Lytham Schools Foundation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North West &amp; North Wales Sea Fisheries Committee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 plus £25,500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 plus £26,500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16.6% plus £27,500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Leisure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12.6% plus £20,600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12.6% plus £21,400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12.6% plus £22,200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Care and Repair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13.7% plus £3,600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Progress Housing Group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QEGS Blackburn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16.2%</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Ribble Valley Homes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Leisure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Surestart Hyndburn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£22,400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£23,200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13.8% plus £24,100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The Ormerod Home Trust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£145,100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21.2% plus £145,100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21.2% plus £150,400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21.2% plus £156,000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Together 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plus £87,700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plus £90,900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14.7% plus £94,300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University of Cumbria</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£608,700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£654,600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£608,700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£631,200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 plus £654,600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Wyre Housing Association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19.3% plus £257,600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19.3% plus £267,100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19.3% plus £277,000</w:t>
            </w:r>
          </w:p>
        </w:tc>
      </w:tr>
      <w:tr w:rsidR="00D41D59"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Admitted bodies (contractor)</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Alternative Futures Group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(formerly Solar)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Bootstrap Enterprises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Bulloughs (Carr Head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 plus £500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Bulloughs (Lytham Hall)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Bulloughs (Our Lady)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Burnley Leisure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11.6%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Capita (Rossendale BC Transfer)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Catering Academy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Caterlink (Mount Pleasant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CG Cleaning (Kennington Rd)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CG Cleaning (St Augustine)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(Holy Family)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21.4%</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(St Anne St Joseph)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(Blake/Cross)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(Lend Lease)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(Pleckgate)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(Witton Park)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Contract Services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Contract Services (UK) Ltd (Preston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Consultant Caterers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Creative Support Limited (Midway Mental health)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Creative Support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(Fulwood Cadley)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(Moor Nook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Cleaning and Environmental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Eric Wright Facilities Management Ltd (Highfield High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FCC Environment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w:t>
            </w:r>
            <w:r>
              <w:rPr>
                <w:rFonts w:asciiTheme="minorHAnsi" w:hAnsiTheme="minorHAnsi" w:cstheme="minorHAnsi"/>
                <w:color w:val="FFFFFF" w:themeColor="background1"/>
                <w:sz w:val="20"/>
              </w:rPr>
              <w:t>ylde</w:t>
            </w:r>
            <w:r w:rsidRPr="00A43058">
              <w:rPr>
                <w:rFonts w:asciiTheme="minorHAnsi" w:hAnsiTheme="minorHAnsi" w:cstheme="minorHAnsi"/>
                <w:color w:val="FFFFFF" w:themeColor="background1"/>
                <w:sz w:val="20"/>
              </w:rPr>
              <w:t xml:space="preserve"> YMCA</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 CARE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Ind Living Fund (Blackpool BC)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Lend Lease Cons.(EMEA) ICT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Lend Lease Cons.(EMEA) ph3</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10.9%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Lend Lease Construction (EMEA) Limited  (Fulwood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Liberata (UK) Ltd  (Burnley)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Liberata UK Ltd (Pendle)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19.2%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Mack Trading Int.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May Gurney Fleet and Passenger Services Limited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(Bishop Rawstorne)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15.2%</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(Brinscall St John)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18.8%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(Hambleton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(Queens Drive)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20.5%</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(Trinity, St Michael)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(Worden SC)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Catering (Belthorn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NCP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(Basnett Nursery)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Ridge Crest Clean Nrth Sacred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(Barnoldswick)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21.3%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(Whalley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22.2%</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Ltd (Altham)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25.7%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Ltd (RCC)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26.6% plus £500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26.6%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South Ribble Community Le</w:t>
            </w:r>
            <w:r>
              <w:rPr>
                <w:rFonts w:asciiTheme="minorHAnsi" w:hAnsiTheme="minorHAnsi" w:cstheme="minorHAnsi"/>
                <w:color w:val="FFFFFF" w:themeColor="background1"/>
                <w:sz w:val="20"/>
              </w:rPr>
              <w:t>i</w:t>
            </w:r>
            <w:r w:rsidRPr="00A43058">
              <w:rPr>
                <w:rFonts w:asciiTheme="minorHAnsi" w:hAnsiTheme="minorHAnsi" w:cstheme="minorHAnsi"/>
                <w:color w:val="FFFFFF" w:themeColor="background1"/>
                <w:sz w:val="20"/>
              </w:rPr>
              <w:t>sure (</w:t>
            </w:r>
            <w:r>
              <w:rPr>
                <w:rFonts w:asciiTheme="minorHAnsi" w:hAnsiTheme="minorHAnsi" w:cstheme="minorHAnsi"/>
                <w:color w:val="FFFFFF" w:themeColor="background1"/>
                <w:sz w:val="20"/>
              </w:rPr>
              <w:t>S</w:t>
            </w:r>
            <w:r w:rsidRPr="00A43058">
              <w:rPr>
                <w:rFonts w:asciiTheme="minorHAnsi" w:hAnsiTheme="minorHAnsi" w:cstheme="minorHAnsi"/>
                <w:color w:val="FFFFFF" w:themeColor="background1"/>
                <w:sz w:val="20"/>
              </w:rPr>
              <w:t>erco)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£86,500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 plus £80,400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 plus £83,400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13.5% plus £86,500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Urbaser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23.9% plus £400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23.9% plus £400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23.9% plus £400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West Lancashire Community Leisure (</w:t>
            </w:r>
            <w:r>
              <w:rPr>
                <w:rFonts w:asciiTheme="minorHAnsi" w:hAnsiTheme="minorHAnsi" w:cstheme="minorHAnsi"/>
                <w:color w:val="FFFFFF" w:themeColor="background1"/>
                <w:sz w:val="20"/>
              </w:rPr>
              <w:t>S</w:t>
            </w:r>
            <w:r w:rsidRPr="00A43058">
              <w:rPr>
                <w:rFonts w:asciiTheme="minorHAnsi" w:hAnsiTheme="minorHAnsi" w:cstheme="minorHAnsi"/>
                <w:color w:val="FFFFFF" w:themeColor="background1"/>
                <w:sz w:val="20"/>
              </w:rPr>
              <w:t>erco)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0%</w:t>
            </w:r>
          </w:p>
        </w:tc>
      </w:tr>
      <w:tr w:rsidR="00D41D59" w:rsidTr="00FF6F6A">
        <w:trPr>
          <w:cantSplit/>
        </w:trPr>
        <w:tc>
          <w:tcPr>
            <w:tcW w:w="15298" w:type="dxa"/>
            <w:gridSpan w:val="8"/>
            <w:tcBorders>
              <w:top w:val="single" w:sz="8" w:space="0" w:color="auto"/>
              <w:left w:val="nil"/>
              <w:bottom w:val="nil"/>
              <w:right w:val="nil"/>
            </w:tcBorders>
            <w:shd w:val="clear" w:color="auto" w:fill="FFFFFF" w:themeFill="background1"/>
            <w:vAlign w:val="center"/>
          </w:tcPr>
          <w:p w:rsidR="00FF6F6A" w:rsidRDefault="00FF6F6A" w:rsidP="00FF6F6A">
            <w:pPr>
              <w:spacing w:after="0"/>
              <w:jc w:val="center"/>
              <w:rPr>
                <w:rFonts w:asciiTheme="minorHAnsi" w:hAnsiTheme="minorHAnsi" w:cstheme="minorHAnsi"/>
                <w:b/>
                <w:color w:val="FFFFFF" w:themeColor="background1"/>
                <w:sz w:val="20"/>
              </w:rPr>
            </w:pPr>
          </w:p>
          <w:p w:rsidR="00FF6F6A" w:rsidRDefault="00FF6F6A" w:rsidP="00FF6F6A">
            <w:pPr>
              <w:spacing w:after="0"/>
              <w:jc w:val="center"/>
              <w:rPr>
                <w:rFonts w:asciiTheme="minorHAnsi" w:hAnsiTheme="minorHAnsi" w:cstheme="minorHAnsi"/>
                <w:b/>
                <w:color w:val="FFFFFF" w:themeColor="background1"/>
                <w:sz w:val="20"/>
              </w:rPr>
            </w:pPr>
          </w:p>
          <w:p w:rsidR="00FF6F6A" w:rsidRPr="00A43058" w:rsidRDefault="00FF6F6A" w:rsidP="00FF6F6A">
            <w:pPr>
              <w:spacing w:after="0"/>
              <w:jc w:val="center"/>
              <w:rPr>
                <w:rFonts w:asciiTheme="minorHAnsi" w:hAnsiTheme="minorHAnsi" w:cstheme="minorHAnsi"/>
                <w:b/>
                <w:color w:val="FFFFFF" w:themeColor="background1"/>
                <w:sz w:val="20"/>
              </w:rPr>
            </w:pPr>
          </w:p>
          <w:p w:rsidR="00FF6F6A" w:rsidRPr="00A43058" w:rsidRDefault="00FF6F6A" w:rsidP="00FF6F6A">
            <w:pPr>
              <w:spacing w:after="0"/>
              <w:jc w:val="center"/>
              <w:rPr>
                <w:rFonts w:asciiTheme="minorHAnsi" w:hAnsiTheme="minorHAnsi" w:cstheme="minorHAnsi"/>
                <w:b/>
                <w:color w:val="FFFFFF" w:themeColor="background1"/>
                <w:sz w:val="20"/>
              </w:rPr>
            </w:pPr>
          </w:p>
        </w:tc>
      </w:tr>
      <w:tr w:rsidR="00D41D59"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Other employers confirmed post valuation</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 Freckleton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18.6%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 PET (West Craven)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17.2% plus £18,100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17.2% plus £18,800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17.2% plus £19,500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Heyhouses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23.3%</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10.7%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Moorside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20.8%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Clayton-le-Woods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Cliviger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15.9%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HHC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21.6%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Education Partnership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10.8%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FCAT Mereside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16.3% plus £27,600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16.3% plus £28,600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16.3% plus £29,700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Lostock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21.9%</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15.5%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15.5%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15.5% plus £700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Highfield Humanities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£57,700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£59,800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£62,000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16.4% plus £57,700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16.4% plus £59,800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16.4% plus £62,000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Birmingham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7.6%</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Bolton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11.1%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Preston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9.7%</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Taylor Shaw (Parklands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22.4%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19.4%</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Tor View</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£59,400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£61,600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12.6% plus £57,300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12.6% plus £59,400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12.6% plus £61,600</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Vision</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Learning</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916A18" w:rsidRDefault="0023599A" w:rsidP="00FF6F6A">
            <w:pPr>
              <w:spacing w:after="0"/>
              <w:jc w:val="center"/>
              <w:rPr>
                <w:rFonts w:asciiTheme="minorHAnsi" w:hAnsiTheme="minorHAnsi" w:cstheme="minorHAnsi"/>
                <w:sz w:val="20"/>
              </w:rPr>
            </w:pPr>
            <w:r w:rsidRPr="00916A18">
              <w:rPr>
                <w:rFonts w:asciiTheme="minorHAnsi" w:hAnsiTheme="minorHAnsi" w:cstheme="minorHAnsi"/>
                <w:sz w:val="20"/>
              </w:rPr>
              <w:t>13.2%</w:t>
            </w:r>
          </w:p>
        </w:tc>
      </w:tr>
      <w:tr w:rsidR="00D41D59" w:rsidTr="00FF6F6A">
        <w:trPr>
          <w:cantSplit/>
        </w:trPr>
        <w:tc>
          <w:tcPr>
            <w:tcW w:w="15298" w:type="dxa"/>
            <w:gridSpan w:val="8"/>
            <w:tcBorders>
              <w:top w:val="single" w:sz="8" w:space="0" w:color="auto"/>
              <w:left w:val="nil"/>
              <w:bottom w:val="nil"/>
              <w:right w:val="nil"/>
            </w:tcBorders>
            <w:shd w:val="clear" w:color="auto" w:fill="auto"/>
            <w:vAlign w:val="center"/>
          </w:tcPr>
          <w:p w:rsidR="00FF6F6A" w:rsidRDefault="00FF6F6A" w:rsidP="00FF6F6A">
            <w:pPr>
              <w:spacing w:after="0"/>
              <w:jc w:val="center"/>
              <w:rPr>
                <w:rFonts w:asciiTheme="minorHAnsi" w:hAnsiTheme="minorHAnsi" w:cstheme="minorHAnsi"/>
                <w:b/>
                <w:color w:val="FFFFFF" w:themeColor="background1"/>
                <w:sz w:val="20"/>
              </w:rPr>
            </w:pPr>
          </w:p>
          <w:p w:rsidR="00FF6F6A" w:rsidRPr="00A43058" w:rsidRDefault="00FF6F6A" w:rsidP="00FF6F6A">
            <w:pPr>
              <w:spacing w:after="0"/>
              <w:jc w:val="center"/>
              <w:rPr>
                <w:rFonts w:asciiTheme="minorHAnsi" w:hAnsiTheme="minorHAnsi" w:cstheme="minorHAnsi"/>
                <w:b/>
                <w:color w:val="FFFFFF" w:themeColor="background1"/>
                <w:sz w:val="20"/>
              </w:rPr>
            </w:pPr>
          </w:p>
        </w:tc>
      </w:tr>
      <w:tr w:rsidR="00D41D59" w:rsidTr="00FF6F6A">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jc w:val="center"/>
              <w:rPr>
                <w:rFonts w:asciiTheme="minorHAnsi" w:hAnsiTheme="minorHAnsi" w:cstheme="minorHAnsi"/>
                <w:color w:val="FFFFFF" w:themeColor="background1"/>
                <w:sz w:val="20"/>
              </w:rPr>
            </w:pPr>
            <w:r w:rsidRPr="00A43058">
              <w:rPr>
                <w:rFonts w:asciiTheme="minorHAnsi" w:hAnsiTheme="minorHAnsi" w:cstheme="minorHAnsi"/>
                <w:b/>
                <w:color w:val="FFFFFF" w:themeColor="background1"/>
                <w:sz w:val="20"/>
              </w:rPr>
              <w:t>Employers grouped with Council</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Fearns Sport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Pr>
                <w:rFonts w:asciiTheme="minorHAnsi" w:hAnsiTheme="minorHAnsi" w:cstheme="minorHAnsi"/>
                <w:color w:val="FFFFFF" w:themeColor="background1"/>
                <w:sz w:val="20"/>
              </w:rPr>
              <w:t>Bulloughs (St Patrick</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(Clayton Brook)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(Morecambe Bay)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Consultant Cleaners (St James)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(St Annes)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(Carr Hill)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 Care (Ind)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14.8%</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Maxim (Acorns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Maxim (Newton Bluecoat)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Maxim (St Matthews CE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(Delph Side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(Holy Cross)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(Little Hoole)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(White Ash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Premiserv (St Peter)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(Burscough)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(Our Ladys Catholic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(St Johns)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(Whitefield)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(Clitheroe Pendle Primary)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Mary Magdalen</w:t>
            </w:r>
            <w:r>
              <w:rPr>
                <w:rFonts w:asciiTheme="minorHAnsi" w:hAnsiTheme="minorHAnsi" w:cstheme="minorHAnsi"/>
                <w:color w:val="FFFFFF" w:themeColor="background1"/>
                <w:sz w:val="20"/>
              </w:rPr>
              <w:t>e</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Marys RCP)</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Wilfred)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D41D59" w:rsidTr="00FF6F6A">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FF6F6A" w:rsidRPr="00A43058" w:rsidRDefault="0023599A" w:rsidP="00FF6F6A">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(Whittlefield)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F6F6A" w:rsidRPr="00A43058" w:rsidRDefault="0023599A" w:rsidP="00FF6F6A">
            <w:pPr>
              <w:spacing w:after="0"/>
              <w:jc w:val="center"/>
              <w:rPr>
                <w:rFonts w:asciiTheme="minorHAnsi" w:hAnsiTheme="minorHAnsi" w:cstheme="minorHAnsi"/>
                <w:sz w:val="20"/>
              </w:rPr>
            </w:pPr>
            <w:r w:rsidRPr="00A43058">
              <w:rPr>
                <w:rFonts w:asciiTheme="minorHAnsi" w:hAnsiTheme="minorHAnsi" w:cstheme="minorHAnsi"/>
                <w:sz w:val="20"/>
              </w:rPr>
              <w:t>15.1%</w:t>
            </w:r>
          </w:p>
        </w:tc>
      </w:tr>
    </w:tbl>
    <w:p w:rsidR="00FF6F6A" w:rsidRDefault="00FF6F6A" w:rsidP="00FF6F6A">
      <w:pPr>
        <w:spacing w:after="0"/>
        <w:rPr>
          <w:szCs w:val="22"/>
        </w:rPr>
      </w:pPr>
    </w:p>
    <w:p w:rsidR="00FF6F6A" w:rsidRDefault="00FF6F6A" w:rsidP="00FF6F6A">
      <w:pPr>
        <w:rPr>
          <w:b/>
          <w:sz w:val="20"/>
        </w:rPr>
      </w:pPr>
    </w:p>
    <w:p w:rsidR="00FF6F6A" w:rsidRDefault="00FF6F6A" w:rsidP="00FF6F6A">
      <w:pPr>
        <w:rPr>
          <w:b/>
          <w:sz w:val="20"/>
        </w:rPr>
      </w:pPr>
    </w:p>
    <w:p w:rsidR="00FF6F6A" w:rsidRDefault="0023599A" w:rsidP="00FF6F6A">
      <w:pPr>
        <w:rPr>
          <w:b/>
          <w:sz w:val="20"/>
        </w:rPr>
      </w:pPr>
      <w:r w:rsidRPr="00D36F9B">
        <w:rPr>
          <w:b/>
          <w:sz w:val="20"/>
        </w:rPr>
        <w:t>Other interested bodies with no pensionable employees</w:t>
      </w:r>
    </w:p>
    <w:tbl>
      <w:tblPr>
        <w:tblStyle w:val="TableGrid"/>
        <w:tblpPr w:leftFromText="180" w:rightFromText="180" w:vertAnchor="text" w:tblpY="1"/>
        <w:tblOverlap w:val="never"/>
        <w:tblW w:w="7338" w:type="dxa"/>
        <w:tblBorders>
          <w:top w:val="none" w:sz="0" w:space="0" w:color="auto"/>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4428"/>
        <w:gridCol w:w="2910"/>
      </w:tblGrid>
      <w:tr w:rsidR="00D41D59" w:rsidTr="00FF6F6A">
        <w:trPr>
          <w:trHeight w:val="270"/>
        </w:trPr>
        <w:tc>
          <w:tcPr>
            <w:tcW w:w="4428" w:type="dxa"/>
            <w:vMerge w:val="restart"/>
            <w:shd w:val="clear" w:color="auto" w:fill="ED7D31" w:themeFill="accent2"/>
            <w:hideMark/>
          </w:tcPr>
          <w:p w:rsidR="00FF6F6A" w:rsidRPr="00646581" w:rsidRDefault="0023599A" w:rsidP="00FF6F6A">
            <w:pPr>
              <w:pStyle w:val="TableText"/>
              <w:rPr>
                <w:b/>
                <w:color w:val="FFFFFF" w:themeColor="background1"/>
              </w:rPr>
            </w:pPr>
            <w:r w:rsidRPr="00646581">
              <w:rPr>
                <w:b/>
                <w:color w:val="FFFFFF" w:themeColor="background1"/>
              </w:rPr>
              <w:t>Employer</w:t>
            </w:r>
          </w:p>
        </w:tc>
        <w:tc>
          <w:tcPr>
            <w:tcW w:w="2910" w:type="dxa"/>
            <w:vMerge w:val="restart"/>
            <w:shd w:val="clear" w:color="auto" w:fill="ED7D31" w:themeFill="accent2"/>
            <w:hideMark/>
          </w:tcPr>
          <w:p w:rsidR="00FF6F6A" w:rsidRDefault="0023599A" w:rsidP="00FF6F6A">
            <w:pPr>
              <w:spacing w:after="0"/>
              <w:jc w:val="center"/>
              <w:rPr>
                <w:rFonts w:cs="Arial"/>
                <w:b/>
                <w:color w:val="FFFFFF" w:themeColor="background1"/>
                <w:sz w:val="20"/>
              </w:rPr>
            </w:pPr>
            <w:r w:rsidRPr="00646581">
              <w:rPr>
                <w:rFonts w:cs="Arial"/>
                <w:b/>
                <w:color w:val="FFFFFF" w:themeColor="background1"/>
                <w:sz w:val="20"/>
              </w:rPr>
              <w:t>Proportion of Pension Increases to be Recharged</w:t>
            </w:r>
          </w:p>
          <w:p w:rsidR="00FF6F6A" w:rsidRPr="00646581" w:rsidRDefault="0023599A" w:rsidP="00FF6F6A">
            <w:pPr>
              <w:spacing w:after="0"/>
              <w:jc w:val="center"/>
              <w:rPr>
                <w:rFonts w:cs="Arial"/>
                <w:b/>
                <w:color w:val="FFFFFF" w:themeColor="background1"/>
                <w:sz w:val="20"/>
              </w:rPr>
            </w:pPr>
            <w:r w:rsidRPr="00646581">
              <w:rPr>
                <w:rFonts w:cs="Arial"/>
                <w:b/>
                <w:color w:val="FFFFFF" w:themeColor="background1"/>
                <w:sz w:val="20"/>
              </w:rPr>
              <w:t>%</w:t>
            </w:r>
          </w:p>
        </w:tc>
      </w:tr>
      <w:tr w:rsidR="00D41D59" w:rsidTr="00FF6F6A">
        <w:trPr>
          <w:trHeight w:val="599"/>
        </w:trPr>
        <w:tc>
          <w:tcPr>
            <w:tcW w:w="0" w:type="auto"/>
            <w:vMerge/>
            <w:shd w:val="clear" w:color="auto" w:fill="ED7D31" w:themeFill="accent2"/>
            <w:hideMark/>
          </w:tcPr>
          <w:p w:rsidR="00FF6F6A" w:rsidRPr="005D6242" w:rsidRDefault="00FF6F6A" w:rsidP="00FF6F6A">
            <w:pPr>
              <w:spacing w:after="0"/>
              <w:rPr>
                <w:b/>
                <w:color w:val="FFFFFF" w:themeColor="background1"/>
                <w:sz w:val="18"/>
                <w:szCs w:val="18"/>
              </w:rPr>
            </w:pPr>
          </w:p>
        </w:tc>
        <w:tc>
          <w:tcPr>
            <w:tcW w:w="2910" w:type="dxa"/>
            <w:vMerge/>
            <w:shd w:val="clear" w:color="auto" w:fill="ED7D31" w:themeFill="accent2"/>
            <w:hideMark/>
          </w:tcPr>
          <w:p w:rsidR="00FF6F6A" w:rsidRPr="00574056" w:rsidRDefault="00FF6F6A" w:rsidP="00FF6F6A">
            <w:pPr>
              <w:spacing w:after="0"/>
              <w:rPr>
                <w:rFonts w:cs="Arial"/>
                <w:b/>
                <w:color w:val="auto"/>
                <w:sz w:val="18"/>
                <w:szCs w:val="18"/>
              </w:rPr>
            </w:pPr>
          </w:p>
        </w:tc>
      </w:tr>
      <w:tr w:rsidR="00D41D59" w:rsidTr="00FF6F6A">
        <w:trPr>
          <w:trHeight w:val="284"/>
        </w:trPr>
        <w:tc>
          <w:tcPr>
            <w:tcW w:w="4428" w:type="dxa"/>
            <w:shd w:val="clear" w:color="auto" w:fill="ED7D31" w:themeFill="accent2"/>
          </w:tcPr>
          <w:p w:rsidR="00FF6F6A" w:rsidRPr="00517AE6" w:rsidRDefault="0023599A" w:rsidP="00FF6F6A">
            <w:pPr>
              <w:spacing w:after="0"/>
              <w:rPr>
                <w:rFonts w:cs="Aharoni"/>
                <w:color w:val="FFFFFF" w:themeColor="background1"/>
                <w:sz w:val="20"/>
              </w:rPr>
            </w:pPr>
            <w:r w:rsidRPr="00517AE6">
              <w:rPr>
                <w:rFonts w:cs="Aharoni"/>
                <w:color w:val="FFFFFF" w:themeColor="background1"/>
                <w:sz w:val="20"/>
              </w:rPr>
              <w:t>Blackpool &amp; Fylde Society for the Deaf</w:t>
            </w:r>
          </w:p>
        </w:tc>
        <w:tc>
          <w:tcPr>
            <w:tcW w:w="2910" w:type="dxa"/>
            <w:shd w:val="clear" w:color="auto" w:fill="FFFFFF" w:themeFill="background1"/>
          </w:tcPr>
          <w:p w:rsidR="00FF6F6A" w:rsidRPr="00517AE6" w:rsidRDefault="0023599A"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D41D59" w:rsidTr="00FF6F6A">
        <w:trPr>
          <w:trHeight w:val="284"/>
        </w:trPr>
        <w:tc>
          <w:tcPr>
            <w:tcW w:w="4428" w:type="dxa"/>
            <w:shd w:val="clear" w:color="auto" w:fill="ED7D31" w:themeFill="accent2"/>
          </w:tcPr>
          <w:p w:rsidR="00FF6F6A" w:rsidRPr="00517AE6" w:rsidRDefault="0023599A" w:rsidP="00FF6F6A">
            <w:pPr>
              <w:spacing w:after="0"/>
              <w:rPr>
                <w:rFonts w:cs="Aharoni"/>
                <w:color w:val="FFFFFF" w:themeColor="background1"/>
                <w:sz w:val="20"/>
              </w:rPr>
            </w:pPr>
            <w:r w:rsidRPr="00517AE6">
              <w:rPr>
                <w:rFonts w:cs="Aharoni"/>
                <w:color w:val="FFFFFF" w:themeColor="background1"/>
                <w:sz w:val="20"/>
              </w:rPr>
              <w:t xml:space="preserve">Burnley &amp; Pendle Development Association </w:t>
            </w:r>
          </w:p>
        </w:tc>
        <w:tc>
          <w:tcPr>
            <w:tcW w:w="2910" w:type="dxa"/>
            <w:shd w:val="clear" w:color="auto" w:fill="FFFFFF" w:themeFill="background1"/>
          </w:tcPr>
          <w:p w:rsidR="00FF6F6A" w:rsidRPr="00517AE6" w:rsidRDefault="0023599A"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D41D59" w:rsidTr="00FF6F6A">
        <w:trPr>
          <w:trHeight w:val="284"/>
        </w:trPr>
        <w:tc>
          <w:tcPr>
            <w:tcW w:w="4428" w:type="dxa"/>
            <w:shd w:val="clear" w:color="auto" w:fill="ED7D31" w:themeFill="accent2"/>
          </w:tcPr>
          <w:p w:rsidR="00FF6F6A" w:rsidRPr="00517AE6" w:rsidRDefault="0023599A" w:rsidP="00FF6F6A">
            <w:pPr>
              <w:spacing w:after="0"/>
              <w:rPr>
                <w:rFonts w:cs="Aharoni"/>
                <w:color w:val="FFFFFF" w:themeColor="background1"/>
                <w:sz w:val="20"/>
              </w:rPr>
            </w:pPr>
            <w:r w:rsidRPr="00517AE6">
              <w:rPr>
                <w:rFonts w:cs="Aharoni"/>
                <w:color w:val="FFFFFF" w:themeColor="background1"/>
                <w:sz w:val="20"/>
              </w:rPr>
              <w:t xml:space="preserve">Burton Manor Residential College </w:t>
            </w:r>
          </w:p>
        </w:tc>
        <w:tc>
          <w:tcPr>
            <w:tcW w:w="2910" w:type="dxa"/>
            <w:shd w:val="clear" w:color="auto" w:fill="FFFFFF" w:themeFill="background1"/>
          </w:tcPr>
          <w:p w:rsidR="00FF6F6A" w:rsidRPr="00517AE6" w:rsidRDefault="0023599A"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D41D59" w:rsidTr="00FF6F6A">
        <w:trPr>
          <w:trHeight w:val="284"/>
        </w:trPr>
        <w:tc>
          <w:tcPr>
            <w:tcW w:w="4428" w:type="dxa"/>
            <w:shd w:val="clear" w:color="auto" w:fill="ED7D31" w:themeFill="accent2"/>
          </w:tcPr>
          <w:p w:rsidR="00FF6F6A" w:rsidRPr="00517AE6" w:rsidRDefault="0023599A" w:rsidP="00FF6F6A">
            <w:pPr>
              <w:spacing w:after="0"/>
              <w:rPr>
                <w:rFonts w:cs="Aharoni"/>
                <w:color w:val="FFFFFF" w:themeColor="background1"/>
                <w:sz w:val="20"/>
              </w:rPr>
            </w:pPr>
            <w:r w:rsidRPr="00517AE6">
              <w:rPr>
                <w:rFonts w:cs="Aharoni"/>
                <w:color w:val="FFFFFF" w:themeColor="background1"/>
                <w:sz w:val="20"/>
              </w:rPr>
              <w:t xml:space="preserve">Ex Department of Transport </w:t>
            </w:r>
          </w:p>
        </w:tc>
        <w:tc>
          <w:tcPr>
            <w:tcW w:w="2910" w:type="dxa"/>
            <w:shd w:val="clear" w:color="auto" w:fill="FFFFFF" w:themeFill="background1"/>
          </w:tcPr>
          <w:p w:rsidR="00FF6F6A" w:rsidRPr="00517AE6" w:rsidRDefault="0023599A"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D41D59" w:rsidTr="00FF6F6A">
        <w:trPr>
          <w:trHeight w:val="284"/>
        </w:trPr>
        <w:tc>
          <w:tcPr>
            <w:tcW w:w="4428" w:type="dxa"/>
            <w:shd w:val="clear" w:color="auto" w:fill="ED7D31" w:themeFill="accent2"/>
          </w:tcPr>
          <w:p w:rsidR="00FF6F6A" w:rsidRPr="00517AE6" w:rsidRDefault="0023599A" w:rsidP="00FF6F6A">
            <w:pPr>
              <w:spacing w:after="0"/>
              <w:rPr>
                <w:rFonts w:cs="Aharoni"/>
                <w:color w:val="FFFFFF" w:themeColor="background1"/>
                <w:sz w:val="20"/>
              </w:rPr>
            </w:pPr>
            <w:r w:rsidRPr="00517AE6">
              <w:rPr>
                <w:rFonts w:cs="Aharoni"/>
                <w:color w:val="FFFFFF" w:themeColor="background1"/>
                <w:sz w:val="20"/>
              </w:rPr>
              <w:t xml:space="preserve">Ex National Health Service </w:t>
            </w:r>
          </w:p>
        </w:tc>
        <w:tc>
          <w:tcPr>
            <w:tcW w:w="2910" w:type="dxa"/>
            <w:shd w:val="clear" w:color="auto" w:fill="FFFFFF" w:themeFill="background1"/>
          </w:tcPr>
          <w:p w:rsidR="00FF6F6A" w:rsidRPr="00517AE6" w:rsidRDefault="0023599A"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D41D59" w:rsidTr="00FF6F6A">
        <w:trPr>
          <w:trHeight w:val="284"/>
        </w:trPr>
        <w:tc>
          <w:tcPr>
            <w:tcW w:w="4428" w:type="dxa"/>
            <w:shd w:val="clear" w:color="auto" w:fill="ED7D31" w:themeFill="accent2"/>
          </w:tcPr>
          <w:p w:rsidR="00FF6F6A" w:rsidRPr="00517AE6" w:rsidRDefault="0023599A" w:rsidP="00FF6F6A">
            <w:pPr>
              <w:spacing w:after="0"/>
              <w:rPr>
                <w:rFonts w:cs="Aharoni"/>
                <w:color w:val="FFFFFF" w:themeColor="background1"/>
                <w:sz w:val="20"/>
              </w:rPr>
            </w:pPr>
            <w:r w:rsidRPr="00517AE6">
              <w:rPr>
                <w:rFonts w:cs="Aharoni"/>
                <w:color w:val="FFFFFF" w:themeColor="background1"/>
                <w:sz w:val="20"/>
              </w:rPr>
              <w:t xml:space="preserve">Fylde Coast Development Association </w:t>
            </w:r>
          </w:p>
        </w:tc>
        <w:tc>
          <w:tcPr>
            <w:tcW w:w="2910" w:type="dxa"/>
            <w:shd w:val="clear" w:color="auto" w:fill="FFFFFF" w:themeFill="background1"/>
          </w:tcPr>
          <w:p w:rsidR="00FF6F6A" w:rsidRPr="00517AE6" w:rsidRDefault="0023599A"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D41D59" w:rsidTr="00FF6F6A">
        <w:trPr>
          <w:trHeight w:val="284"/>
        </w:trPr>
        <w:tc>
          <w:tcPr>
            <w:tcW w:w="4428" w:type="dxa"/>
            <w:shd w:val="clear" w:color="auto" w:fill="ED7D31" w:themeFill="accent2"/>
          </w:tcPr>
          <w:p w:rsidR="00FF6F6A" w:rsidRPr="00517AE6" w:rsidRDefault="0023599A" w:rsidP="00FF6F6A">
            <w:pPr>
              <w:spacing w:after="0"/>
              <w:rPr>
                <w:rFonts w:cs="Aharoni"/>
                <w:color w:val="FFFFFF" w:themeColor="background1"/>
                <w:sz w:val="20"/>
              </w:rPr>
            </w:pPr>
            <w:r w:rsidRPr="00517AE6">
              <w:rPr>
                <w:rFonts w:cs="Aharoni"/>
                <w:color w:val="FFFFFF" w:themeColor="background1"/>
                <w:sz w:val="20"/>
              </w:rPr>
              <w:t xml:space="preserve">Lancashire South East Probation Committee </w:t>
            </w:r>
          </w:p>
        </w:tc>
        <w:tc>
          <w:tcPr>
            <w:tcW w:w="2910" w:type="dxa"/>
            <w:shd w:val="clear" w:color="auto" w:fill="FFFFFF" w:themeFill="background1"/>
          </w:tcPr>
          <w:p w:rsidR="00FF6F6A" w:rsidRPr="00517AE6" w:rsidRDefault="0023599A"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r w:rsidR="00D41D59" w:rsidTr="00FF6F6A">
        <w:trPr>
          <w:trHeight w:val="284"/>
        </w:trPr>
        <w:tc>
          <w:tcPr>
            <w:tcW w:w="4428" w:type="dxa"/>
            <w:shd w:val="clear" w:color="auto" w:fill="ED7D31" w:themeFill="accent2"/>
          </w:tcPr>
          <w:p w:rsidR="00FF6F6A" w:rsidRPr="00517AE6" w:rsidRDefault="0023599A" w:rsidP="00FF6F6A">
            <w:pPr>
              <w:spacing w:after="0"/>
              <w:rPr>
                <w:rFonts w:cs="Aharoni"/>
                <w:color w:val="FFFFFF" w:themeColor="background1"/>
              </w:rPr>
            </w:pPr>
            <w:r w:rsidRPr="00517AE6">
              <w:rPr>
                <w:rFonts w:cs="Aharoni"/>
                <w:color w:val="FFFFFF" w:themeColor="background1"/>
                <w:sz w:val="20"/>
              </w:rPr>
              <w:t>Spastics Society</w:t>
            </w:r>
          </w:p>
        </w:tc>
        <w:tc>
          <w:tcPr>
            <w:tcW w:w="2910" w:type="dxa"/>
            <w:shd w:val="clear" w:color="auto" w:fill="FFFFFF" w:themeFill="background1"/>
          </w:tcPr>
          <w:p w:rsidR="00FF6F6A" w:rsidRPr="00517AE6" w:rsidRDefault="0023599A" w:rsidP="00FF6F6A">
            <w:pPr>
              <w:spacing w:after="0" w:line="240" w:lineRule="exact"/>
              <w:jc w:val="center"/>
              <w:rPr>
                <w:rFonts w:cs="Aharoni"/>
                <w:color w:val="70AD47" w:themeColor="accent6"/>
                <w:sz w:val="20"/>
              </w:rPr>
            </w:pPr>
            <w:r w:rsidRPr="00517AE6">
              <w:rPr>
                <w:rFonts w:cs="Aharoni"/>
                <w:color w:val="70AD47" w:themeColor="accent6"/>
                <w:sz w:val="20"/>
              </w:rPr>
              <w:t>100</w:t>
            </w:r>
          </w:p>
        </w:tc>
      </w:tr>
    </w:tbl>
    <w:p w:rsidR="00FF6F6A" w:rsidRDefault="0023599A" w:rsidP="00FF6F6A">
      <w:pPr>
        <w:rPr>
          <w:b/>
          <w:sz w:val="20"/>
        </w:rPr>
      </w:pPr>
      <w:r>
        <w:rPr>
          <w:sz w:val="20"/>
        </w:rPr>
        <w:br w:type="textWrapping" w:clear="all"/>
      </w:r>
    </w:p>
    <w:p w:rsidR="00FF6F6A" w:rsidRPr="00574056" w:rsidRDefault="0023599A" w:rsidP="00FF6F6A">
      <w:pPr>
        <w:spacing w:after="0"/>
        <w:rPr>
          <w:szCs w:val="22"/>
        </w:rPr>
      </w:pPr>
      <w:r w:rsidRPr="00574056">
        <w:rPr>
          <w:szCs w:val="22"/>
        </w:rPr>
        <w:t>Notes:</w:t>
      </w:r>
    </w:p>
    <w:p w:rsidR="00FF6F6A" w:rsidRPr="00574056" w:rsidRDefault="00FF6F6A" w:rsidP="00FF6F6A">
      <w:pPr>
        <w:spacing w:after="0"/>
        <w:rPr>
          <w:szCs w:val="22"/>
        </w:rPr>
      </w:pPr>
    </w:p>
    <w:p w:rsidR="00FF6F6A" w:rsidRPr="0034657C" w:rsidRDefault="0023599A" w:rsidP="00F91786">
      <w:pPr>
        <w:pStyle w:val="ListParagraph"/>
        <w:numPr>
          <w:ilvl w:val="0"/>
          <w:numId w:val="48"/>
        </w:numPr>
        <w:autoSpaceDE/>
        <w:autoSpaceDN/>
        <w:adjustRightInd/>
        <w:spacing w:after="0"/>
        <w:jc w:val="left"/>
        <w:rPr>
          <w:rFonts w:asciiTheme="minorHAnsi" w:hAnsiTheme="minorHAnsi" w:cstheme="minorHAnsi"/>
          <w:sz w:val="20"/>
        </w:rPr>
      </w:pPr>
      <w:r w:rsidRPr="0034657C">
        <w:rPr>
          <w:rFonts w:asciiTheme="minorHAnsi" w:hAnsiTheme="minorHAnsi" w:cstheme="minorHAnsi"/>
          <w:sz w:val="20"/>
        </w:rPr>
        <w:t xml:space="preserve">Cash payments in respect of £ lump sums marked * are payable by 30 April 2017.  Cash payments in respect of £ lump sums marked ** are payable by 30 April of the year in which they are due.  Cash payments in respect of £ lump sums marked </w:t>
      </w:r>
      <w:r>
        <w:rPr>
          <w:rFonts w:asciiTheme="minorHAnsi" w:hAnsiTheme="minorHAnsi" w:cstheme="minorHAnsi"/>
          <w:sz w:val="20"/>
        </w:rPr>
        <w:t>*</w:t>
      </w:r>
      <w:r w:rsidRPr="0034657C">
        <w:rPr>
          <w:rFonts w:asciiTheme="minorHAnsi" w:hAnsiTheme="minorHAnsi" w:cstheme="minorHAnsi"/>
          <w:sz w:val="20"/>
        </w:rPr>
        <w:t xml:space="preserve">** are payable by </w:t>
      </w:r>
      <w:r>
        <w:rPr>
          <w:rFonts w:asciiTheme="minorHAnsi" w:hAnsiTheme="minorHAnsi" w:cstheme="minorHAnsi"/>
          <w:sz w:val="20"/>
        </w:rPr>
        <w:t xml:space="preserve">the end of the year </w:t>
      </w:r>
      <w:r w:rsidRPr="0034657C">
        <w:rPr>
          <w:rFonts w:asciiTheme="minorHAnsi" w:hAnsiTheme="minorHAnsi" w:cstheme="minorHAnsi"/>
          <w:sz w:val="20"/>
        </w:rPr>
        <w:t xml:space="preserve">in which they are due </w:t>
      </w:r>
      <w:r>
        <w:rPr>
          <w:rFonts w:asciiTheme="minorHAnsi" w:hAnsiTheme="minorHAnsi" w:cstheme="minorHAnsi"/>
          <w:sz w:val="20"/>
        </w:rPr>
        <w:t xml:space="preserve">Where applicable these </w:t>
      </w:r>
      <w:r w:rsidRPr="0034657C">
        <w:rPr>
          <w:rFonts w:asciiTheme="minorHAnsi" w:hAnsiTheme="minorHAnsi" w:cstheme="minorHAnsi"/>
          <w:sz w:val="20"/>
        </w:rPr>
        <w:t>amounts have been reduced to reflect this early payment;</w:t>
      </w:r>
    </w:p>
    <w:p w:rsidR="00FF6F6A" w:rsidRPr="0034657C" w:rsidRDefault="00FF6F6A" w:rsidP="00FF6F6A">
      <w:pPr>
        <w:spacing w:after="0"/>
        <w:ind w:left="284" w:hanging="284"/>
        <w:rPr>
          <w:rFonts w:asciiTheme="minorHAnsi" w:hAnsiTheme="minorHAnsi" w:cstheme="minorHAnsi"/>
          <w:sz w:val="20"/>
        </w:rPr>
      </w:pPr>
    </w:p>
    <w:p w:rsidR="00FF6F6A" w:rsidRDefault="0023599A" w:rsidP="00F91786">
      <w:pPr>
        <w:pStyle w:val="ListParagraph"/>
        <w:numPr>
          <w:ilvl w:val="0"/>
          <w:numId w:val="48"/>
        </w:numPr>
        <w:autoSpaceDE/>
        <w:autoSpaceDN/>
        <w:adjustRightInd/>
        <w:spacing w:after="0"/>
        <w:jc w:val="left"/>
        <w:rPr>
          <w:rFonts w:asciiTheme="minorHAnsi" w:hAnsiTheme="minorHAnsi" w:cstheme="minorHAnsi"/>
          <w:sz w:val="20"/>
        </w:rPr>
      </w:pPr>
      <w:r w:rsidRPr="0034657C">
        <w:rPr>
          <w:rFonts w:asciiTheme="minorHAnsi" w:hAnsiTheme="minorHAnsi" w:cstheme="minorHAnsi"/>
          <w:sz w:val="20"/>
        </w:rPr>
        <w:t>With the agreement of the Administering Authority employers may also opt to pay any other element of their employer contributions early, with either all three years being paid in April 2017 or payment being made in the April of the year in question.  The cash amounts payable will be reduced in return for this early payment as follows:</w:t>
      </w:r>
    </w:p>
    <w:p w:rsidR="00FF6F6A" w:rsidRPr="00B6334D" w:rsidRDefault="00FF6F6A" w:rsidP="00FF6F6A">
      <w:pPr>
        <w:spacing w:after="0"/>
        <w:rPr>
          <w:rFonts w:asciiTheme="minorHAnsi" w:hAnsiTheme="minorHAnsi" w:cstheme="minorHAnsi"/>
          <w:sz w:val="20"/>
        </w:rPr>
      </w:pPr>
    </w:p>
    <w:p w:rsidR="00FF6F6A" w:rsidRPr="0034657C" w:rsidRDefault="0023599A" w:rsidP="00F91786">
      <w:pPr>
        <w:pStyle w:val="TOC1"/>
        <w:numPr>
          <w:ilvl w:val="0"/>
          <w:numId w:val="49"/>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Payments made in the April of the certified year will be reduced by 2.1% (i.e. the above amounts will be multiplied by 0.979)</w:t>
      </w:r>
    </w:p>
    <w:p w:rsidR="00FF6F6A" w:rsidRPr="0034657C" w:rsidRDefault="0023599A" w:rsidP="00F91786">
      <w:pPr>
        <w:pStyle w:val="TOC1"/>
        <w:numPr>
          <w:ilvl w:val="0"/>
          <w:numId w:val="49"/>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2018/19 payments made in April 2017 will be reduced by 6.3% (i.e. the above amounts will be multiplied by 0.937)</w:t>
      </w:r>
    </w:p>
    <w:p w:rsidR="00FF6F6A" w:rsidRPr="0034657C" w:rsidRDefault="0023599A" w:rsidP="00F91786">
      <w:pPr>
        <w:pStyle w:val="TOC1"/>
        <w:numPr>
          <w:ilvl w:val="0"/>
          <w:numId w:val="49"/>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2019/20 payments made in April 2017 will be reduced by 10.2% (i.e. the above amounts will be multiplied by 0.898)</w:t>
      </w:r>
    </w:p>
    <w:p w:rsidR="00FF6F6A" w:rsidRPr="0034657C" w:rsidRDefault="00FF6F6A" w:rsidP="00FF6F6A">
      <w:pPr>
        <w:spacing w:after="0"/>
        <w:rPr>
          <w:rFonts w:asciiTheme="minorHAnsi" w:hAnsiTheme="minorHAnsi" w:cstheme="minorHAnsi"/>
          <w:sz w:val="20"/>
        </w:rPr>
      </w:pPr>
    </w:p>
    <w:p w:rsidR="00FF6F6A" w:rsidRPr="00B6334D" w:rsidRDefault="0023599A" w:rsidP="00FF6F6A">
      <w:pPr>
        <w:spacing w:after="0" w:line="240" w:lineRule="exact"/>
        <w:ind w:left="720"/>
        <w:rPr>
          <w:sz w:val="20"/>
        </w:rPr>
      </w:pPr>
      <w:r w:rsidRPr="00B6334D">
        <w:rPr>
          <w:sz w:val="20"/>
        </w:rPr>
        <w:t>For these cases the employer will need to estimate in advance the pensionable pay for the entire period, and a balancing adjustment to reflect the actual pensionable pay over the period would be made at the end of the period (no later than 19th April or 22nd April as appropriate following the year-end).</w:t>
      </w:r>
    </w:p>
    <w:p w:rsidR="00FF6F6A" w:rsidRPr="003C5B75" w:rsidRDefault="00FF6F6A" w:rsidP="00FF6F6A">
      <w:pPr>
        <w:spacing w:after="0"/>
        <w:rPr>
          <w:rFonts w:asciiTheme="minorHAnsi" w:hAnsiTheme="minorHAnsi" w:cstheme="minorHAnsi"/>
          <w:color w:val="auto"/>
          <w:sz w:val="20"/>
        </w:rPr>
      </w:pPr>
    </w:p>
    <w:p w:rsidR="00FF6F6A" w:rsidRPr="003C5B75" w:rsidRDefault="0023599A" w:rsidP="00F91786">
      <w:pPr>
        <w:pStyle w:val="NormalIndent2"/>
        <w:numPr>
          <w:ilvl w:val="0"/>
          <w:numId w:val="48"/>
        </w:numPr>
        <w:rPr>
          <w:rFonts w:asciiTheme="minorHAnsi" w:hAnsiTheme="minorHAnsi" w:cstheme="minorHAnsi"/>
          <w:sz w:val="20"/>
          <w:szCs w:val="20"/>
        </w:rPr>
      </w:pPr>
      <w:r w:rsidRPr="003C5B75">
        <w:rPr>
          <w:rFonts w:asciiTheme="minorHAnsi" w:hAnsiTheme="minorHAnsi" w:cstheme="minorHAnsi"/>
          <w:sz w:val="20"/>
          <w:szCs w:val="20"/>
        </w:rPr>
        <w:t>The percentages shown are percentages of pensionable pay and apply to all members, including those who are members under the 50:50 option under the LGPS from 1 April 2014;</w:t>
      </w:r>
    </w:p>
    <w:p w:rsidR="00FF6F6A" w:rsidRPr="003C5B75" w:rsidRDefault="00FF6F6A" w:rsidP="00FF6F6A">
      <w:pPr>
        <w:spacing w:after="0"/>
        <w:rPr>
          <w:rFonts w:asciiTheme="minorHAnsi" w:hAnsiTheme="minorHAnsi" w:cstheme="minorHAnsi"/>
          <w:color w:val="auto"/>
          <w:sz w:val="20"/>
        </w:rPr>
      </w:pPr>
    </w:p>
    <w:p w:rsidR="00FF6F6A" w:rsidRPr="003C5B75" w:rsidRDefault="0023599A" w:rsidP="00F91786">
      <w:pPr>
        <w:pStyle w:val="NormalIndent2"/>
        <w:numPr>
          <w:ilvl w:val="0"/>
          <w:numId w:val="48"/>
        </w:numPr>
        <w:rPr>
          <w:rFonts w:asciiTheme="minorHAnsi" w:hAnsiTheme="minorHAnsi" w:cstheme="minorHAnsi"/>
          <w:sz w:val="20"/>
          <w:szCs w:val="20"/>
        </w:rPr>
      </w:pPr>
      <w:r w:rsidRPr="003C5B75">
        <w:rPr>
          <w:rFonts w:asciiTheme="minorHAnsi" w:hAnsiTheme="minorHAnsi" w:cstheme="minorHAnsi"/>
          <w:sz w:val="20"/>
          <w:szCs w:val="20"/>
        </w:rPr>
        <w:t>The total contributions payable by each employer each year will be subject to a minimum of zero;</w:t>
      </w:r>
    </w:p>
    <w:p w:rsidR="00FF6F6A" w:rsidRPr="003C5B75" w:rsidRDefault="00FF6F6A" w:rsidP="00FF6F6A">
      <w:pPr>
        <w:pStyle w:val="NormalIndent2"/>
        <w:rPr>
          <w:rFonts w:asciiTheme="minorHAnsi" w:hAnsiTheme="minorHAnsi" w:cstheme="minorHAnsi"/>
          <w:sz w:val="20"/>
          <w:szCs w:val="20"/>
        </w:rPr>
      </w:pPr>
    </w:p>
    <w:p w:rsidR="00FF6F6A" w:rsidRPr="003C5B75" w:rsidRDefault="0023599A" w:rsidP="00F91786">
      <w:pPr>
        <w:pStyle w:val="NormalIndent2"/>
        <w:numPr>
          <w:ilvl w:val="0"/>
          <w:numId w:val="48"/>
        </w:numPr>
        <w:rPr>
          <w:rFonts w:asciiTheme="minorHAnsi" w:hAnsiTheme="minorHAnsi" w:cstheme="minorHAnsi"/>
          <w:sz w:val="20"/>
          <w:szCs w:val="20"/>
        </w:rPr>
      </w:pPr>
      <w:r w:rsidRPr="003C5B75">
        <w:rPr>
          <w:rFonts w:asciiTheme="minorHAnsi" w:hAnsiTheme="minorHAnsi" w:cstheme="minorHAnsi"/>
          <w:sz w:val="20"/>
          <w:szCs w:val="20"/>
        </w:rPr>
        <w:t xml:space="preserve">In cases where an element of an existing Scheme Employer’s deficit is transferred to a new employer on its inception, the Scheme Employer’s deficit recovery contributions shown in this certificate may be reallocated between the Scheme Employer and the new employer to reflect this, on advice from the actuary.  </w:t>
      </w:r>
    </w:p>
    <w:p w:rsidR="00FF6F6A" w:rsidRPr="003C5B75" w:rsidRDefault="00FF6F6A" w:rsidP="00FF6F6A">
      <w:pPr>
        <w:pStyle w:val="NormalIndent2"/>
        <w:rPr>
          <w:rFonts w:asciiTheme="minorHAnsi" w:hAnsiTheme="minorHAnsi" w:cstheme="minorHAnsi"/>
          <w:sz w:val="20"/>
          <w:szCs w:val="20"/>
        </w:rPr>
      </w:pPr>
    </w:p>
    <w:p w:rsidR="00FF6F6A" w:rsidRPr="003C5B75" w:rsidRDefault="0023599A" w:rsidP="00F91786">
      <w:pPr>
        <w:pStyle w:val="NormalIndent2"/>
        <w:numPr>
          <w:ilvl w:val="0"/>
          <w:numId w:val="48"/>
        </w:numPr>
        <w:rPr>
          <w:rFonts w:asciiTheme="minorHAnsi" w:hAnsiTheme="minorHAnsi" w:cstheme="minorHAnsi"/>
          <w:sz w:val="20"/>
          <w:szCs w:val="20"/>
        </w:rPr>
      </w:pPr>
      <w:r w:rsidRPr="003C5B75">
        <w:rPr>
          <w:rFonts w:asciiTheme="minorHAnsi" w:hAnsiTheme="minorHAnsi" w:cstheme="minorHAnsi"/>
          <w:sz w:val="20"/>
          <w:szCs w:val="20"/>
        </w:rPr>
        <w:t xml:space="preserve">There are a number of additional employers who no longer had any active members within the Fund as at the valuation date.  Any final contribution requirement for these employers will be assessed by the Fund in due course on the basis of actuarial advice.  </w:t>
      </w:r>
    </w:p>
    <w:p w:rsidR="00FF6F6A" w:rsidRPr="003C5B75" w:rsidRDefault="00FF6F6A" w:rsidP="00FF6F6A">
      <w:pPr>
        <w:pStyle w:val="NormalIndent2"/>
        <w:rPr>
          <w:rFonts w:asciiTheme="minorHAnsi" w:hAnsiTheme="minorHAnsi" w:cstheme="minorHAnsi"/>
          <w:sz w:val="20"/>
          <w:szCs w:val="20"/>
        </w:rPr>
      </w:pPr>
    </w:p>
    <w:p w:rsidR="00FF6F6A" w:rsidRPr="003C5B75" w:rsidRDefault="0023599A" w:rsidP="00F91786">
      <w:pPr>
        <w:pStyle w:val="NormalIndent2"/>
        <w:numPr>
          <w:ilvl w:val="0"/>
          <w:numId w:val="48"/>
        </w:numPr>
        <w:rPr>
          <w:rFonts w:asciiTheme="minorHAnsi" w:hAnsiTheme="minorHAnsi" w:cstheme="minorHAnsi"/>
          <w:sz w:val="20"/>
          <w:szCs w:val="20"/>
        </w:rPr>
      </w:pPr>
      <w:r w:rsidRPr="003C5B75">
        <w:rPr>
          <w:rFonts w:asciiTheme="minorHAnsi" w:hAnsiTheme="minorHAnsi" w:cstheme="minorHAnsi"/>
          <w:sz w:val="20"/>
          <w:szCs w:val="20"/>
        </w:rPr>
        <w:t>The Fund has implemented an internal captive insurance arrangement in order to pool the risks associated with ill health retirement costs. The captive has been designed for employers that could be materially affected by the ill health retirement of one or more of their members.  The employers (both existing and new) that will be included in the captive are those with less than 150 active members (excluding major Councils). New employers entering the Fund who fall into this category will also be included.  For those employers in the ill-health captive arrangement, allowance for ill health retirements has been included in each employer’s contribution rate, on the basis of the method and assumptions set out in the report.</w:t>
      </w:r>
    </w:p>
    <w:p w:rsidR="00FF6F6A" w:rsidRDefault="00FF6F6A" w:rsidP="00FF6F6A">
      <w:pPr>
        <w:spacing w:after="0"/>
        <w:rPr>
          <w:szCs w:val="22"/>
        </w:rPr>
        <w:sectPr w:rsidR="00FF6F6A" w:rsidSect="00FF6F6A">
          <w:headerReference w:type="default" r:id="rId47"/>
          <w:pgSz w:w="16839" w:h="11907" w:orient="landscape" w:code="9"/>
          <w:pgMar w:top="851" w:right="1134" w:bottom="709" w:left="1134" w:header="709" w:footer="709" w:gutter="0"/>
          <w:cols w:space="720"/>
          <w:docGrid w:linePitch="360"/>
        </w:sectPr>
      </w:pPr>
    </w:p>
    <w:p w:rsidR="00FF6F6A" w:rsidRDefault="00FF6F6A" w:rsidP="00FF6F6A">
      <w:pPr>
        <w:autoSpaceDE/>
        <w:autoSpaceDN/>
        <w:adjustRightInd/>
        <w:spacing w:after="0"/>
        <w:jc w:val="left"/>
      </w:pPr>
    </w:p>
    <w:p w:rsidR="00FF6F6A" w:rsidRPr="0011070C" w:rsidRDefault="0023599A" w:rsidP="00FF6F6A">
      <w:pPr>
        <w:autoSpaceDE/>
        <w:autoSpaceDN/>
        <w:adjustRightInd/>
        <w:spacing w:after="0"/>
        <w:jc w:val="left"/>
        <w:rPr>
          <w:sz w:val="32"/>
          <w:szCs w:val="32"/>
        </w:rPr>
      </w:pPr>
      <w:r w:rsidRPr="0011070C">
        <w:rPr>
          <w:b/>
          <w:snapToGrid w:val="0"/>
          <w:sz w:val="32"/>
          <w:szCs w:val="32"/>
        </w:rPr>
        <w:t>J   Contacts</w:t>
      </w:r>
    </w:p>
    <w:p w:rsidR="00FF6F6A" w:rsidRPr="00E87CD5" w:rsidRDefault="00FF6F6A" w:rsidP="00FF6F6A">
      <w:pPr>
        <w:rPr>
          <w:b/>
          <w:sz w:val="28"/>
          <w:szCs w:val="28"/>
        </w:rPr>
      </w:pPr>
    </w:p>
    <w:p w:rsidR="00FF6F6A" w:rsidRPr="000D1CED" w:rsidRDefault="001A4667" w:rsidP="00FF6F6A">
      <w:pPr>
        <w:rPr>
          <w:rFonts w:cs="Arial"/>
          <w:b/>
          <w:color w:val="FF0000"/>
        </w:rPr>
      </w:pPr>
      <w:hyperlink r:id="rId48" w:history="1">
        <w:r w:rsidR="0023599A" w:rsidRPr="000D1CED">
          <w:rPr>
            <w:rStyle w:val="Hyperlink"/>
            <w:b/>
          </w:rPr>
          <w:t>http://www.yourpensionservice.org.uk</w:t>
        </w:r>
      </w:hyperlink>
    </w:p>
    <w:p w:rsidR="00FF6F6A" w:rsidRPr="000D1CED" w:rsidRDefault="00FF6F6A" w:rsidP="00FF6F6A">
      <w:pPr>
        <w:rPr>
          <w:rFonts w:cs="Arial"/>
          <w:bCs/>
        </w:rPr>
      </w:pPr>
    </w:p>
    <w:p w:rsidR="00FF6F6A" w:rsidRPr="000D1CED" w:rsidRDefault="000D1CED" w:rsidP="00FF6F6A">
      <w:pPr>
        <w:rPr>
          <w:b/>
          <w:sz w:val="28"/>
          <w:szCs w:val="28"/>
        </w:rPr>
      </w:pPr>
      <w:r w:rsidRPr="000D1CED">
        <w:rPr>
          <w:b/>
          <w:sz w:val="28"/>
          <w:szCs w:val="28"/>
        </w:rPr>
        <w:t>Benefits and other administrative issues</w:t>
      </w:r>
    </w:p>
    <w:p w:rsidR="000D1CED" w:rsidRPr="000D1CED" w:rsidRDefault="000D1CED" w:rsidP="00FF6F6A">
      <w:r w:rsidRPr="000D1CED">
        <w:t>LPP – Your Pension Service</w:t>
      </w:r>
    </w:p>
    <w:p w:rsidR="000D1CED" w:rsidRPr="000D1CED" w:rsidRDefault="000D1CED" w:rsidP="00FF6F6A">
      <w:r w:rsidRPr="000D1CED">
        <w:t>PO Box 1381</w:t>
      </w:r>
    </w:p>
    <w:p w:rsidR="000D1CED" w:rsidRPr="000D1CED" w:rsidRDefault="000D1CED" w:rsidP="00FF6F6A">
      <w:r w:rsidRPr="000D1CED">
        <w:t>Preston</w:t>
      </w:r>
    </w:p>
    <w:p w:rsidR="000D1CED" w:rsidRPr="000D1CED" w:rsidRDefault="000D1CED" w:rsidP="00FF6F6A">
      <w:r w:rsidRPr="000D1CED">
        <w:t>PR2 0WP</w:t>
      </w:r>
    </w:p>
    <w:p w:rsidR="000D1CED" w:rsidRPr="000D1CED" w:rsidRDefault="000D1CED" w:rsidP="00FF6F6A">
      <w:r w:rsidRPr="000D1CED">
        <w:t>Phone: 0300 323 0260</w:t>
      </w:r>
    </w:p>
    <w:p w:rsidR="000D1CED" w:rsidRDefault="000D1CED" w:rsidP="00FF6F6A">
      <w:r w:rsidRPr="000D1CED">
        <w:t>Email:</w:t>
      </w:r>
      <w:r w:rsidRPr="008E2DA3">
        <w:rPr>
          <w:color w:val="5B9BD5" w:themeColor="accent1"/>
          <w:u w:val="single"/>
        </w:rPr>
        <w:t>Askpensions@localpensionspartnership.org.uk</w:t>
      </w:r>
    </w:p>
    <w:p w:rsidR="000D1CED" w:rsidRPr="000D1CED" w:rsidRDefault="000D1CED" w:rsidP="00FF6F6A"/>
    <w:p w:rsidR="000D1CED" w:rsidRPr="000D1CED" w:rsidRDefault="000D1CED" w:rsidP="00FF6F6A">
      <w:pPr>
        <w:rPr>
          <w:rFonts w:cs="Arial"/>
          <w:b/>
          <w:sz w:val="28"/>
          <w:szCs w:val="28"/>
        </w:rPr>
      </w:pPr>
      <w:r w:rsidRPr="000D1CED">
        <w:rPr>
          <w:rFonts w:cs="Arial"/>
          <w:b/>
          <w:sz w:val="28"/>
          <w:szCs w:val="28"/>
        </w:rPr>
        <w:t>Investment management</w:t>
      </w:r>
    </w:p>
    <w:p w:rsidR="008E2DA3" w:rsidRDefault="000D1CED" w:rsidP="000D1CED">
      <w:pPr>
        <w:shd w:val="clear" w:color="auto" w:fill="FFFFFF"/>
        <w:autoSpaceDE/>
        <w:autoSpaceDN/>
        <w:adjustRightInd/>
        <w:spacing w:after="0" w:line="390" w:lineRule="atLeast"/>
        <w:jc w:val="left"/>
        <w:rPr>
          <w:rFonts w:eastAsia="Times New Roman" w:cs="Arial"/>
          <w:color w:val="auto"/>
          <w:spacing w:val="5"/>
          <w:lang w:val="en" w:eastAsia="en-GB"/>
        </w:rPr>
      </w:pPr>
      <w:r w:rsidRPr="008E2DA3">
        <w:rPr>
          <w:rFonts w:eastAsia="Times New Roman" w:cs="Arial"/>
          <w:color w:val="auto"/>
          <w:spacing w:val="5"/>
          <w:lang w:val="en" w:eastAsia="en-GB"/>
        </w:rPr>
        <w:t>Norwest Court</w:t>
      </w:r>
      <w:r w:rsidRPr="008E2DA3">
        <w:rPr>
          <w:rFonts w:eastAsia="Times New Roman" w:cs="Arial"/>
          <w:color w:val="auto"/>
          <w:spacing w:val="5"/>
          <w:lang w:val="en" w:eastAsia="en-GB"/>
        </w:rPr>
        <w:br/>
        <w:t>Guildhall Street</w:t>
      </w:r>
      <w:r w:rsidRPr="008E2DA3">
        <w:rPr>
          <w:rFonts w:eastAsia="Times New Roman" w:cs="Arial"/>
          <w:color w:val="auto"/>
          <w:spacing w:val="5"/>
          <w:lang w:val="en" w:eastAsia="en-GB"/>
        </w:rPr>
        <w:br/>
        <w:t xml:space="preserve">Preston </w:t>
      </w:r>
    </w:p>
    <w:p w:rsidR="000D1CED" w:rsidRPr="008E2DA3" w:rsidRDefault="000D1CED" w:rsidP="000D1CED">
      <w:pPr>
        <w:shd w:val="clear" w:color="auto" w:fill="FFFFFF"/>
        <w:autoSpaceDE/>
        <w:autoSpaceDN/>
        <w:adjustRightInd/>
        <w:spacing w:after="0" w:line="390" w:lineRule="atLeast"/>
        <w:jc w:val="left"/>
        <w:rPr>
          <w:rFonts w:eastAsia="Times New Roman" w:cs="Arial"/>
          <w:color w:val="5B9BD5" w:themeColor="accent1"/>
          <w:spacing w:val="5"/>
          <w:lang w:val="en" w:eastAsia="en-GB"/>
        </w:rPr>
      </w:pPr>
      <w:r w:rsidRPr="008E2DA3">
        <w:rPr>
          <w:rFonts w:eastAsia="Times New Roman" w:cs="Arial"/>
          <w:color w:val="auto"/>
          <w:spacing w:val="5"/>
          <w:lang w:val="en" w:eastAsia="en-GB"/>
        </w:rPr>
        <w:t>PR1 3NU</w:t>
      </w:r>
      <w:r w:rsidRPr="008E2DA3">
        <w:rPr>
          <w:rFonts w:eastAsia="Times New Roman" w:cs="Arial"/>
          <w:color w:val="auto"/>
          <w:spacing w:val="5"/>
          <w:lang w:val="en" w:eastAsia="en-GB"/>
        </w:rPr>
        <w:br/>
        <w:t xml:space="preserve">Phone: </w:t>
      </w:r>
      <w:hyperlink r:id="rId49" w:history="1">
        <w:r w:rsidRPr="008E2DA3">
          <w:rPr>
            <w:rFonts w:eastAsia="Times New Roman" w:cs="Arial"/>
            <w:bCs/>
            <w:color w:val="auto"/>
            <w:spacing w:val="5"/>
            <w:lang w:val="en" w:eastAsia="en-GB"/>
          </w:rPr>
          <w:t>0300 323 0260</w:t>
        </w:r>
      </w:hyperlink>
      <w:r w:rsidRPr="008E2DA3">
        <w:rPr>
          <w:rFonts w:eastAsia="Times New Roman" w:cs="Arial"/>
          <w:color w:val="auto"/>
          <w:spacing w:val="5"/>
          <w:lang w:val="en" w:eastAsia="en-GB"/>
        </w:rPr>
        <w:br/>
        <w:t xml:space="preserve">Email: </w:t>
      </w:r>
      <w:hyperlink r:id="rId50" w:history="1">
        <w:r w:rsidRPr="008E2DA3">
          <w:rPr>
            <w:rFonts w:eastAsia="Times New Roman" w:cs="Arial"/>
            <w:bCs/>
            <w:color w:val="5B9BD5" w:themeColor="accent1"/>
            <w:spacing w:val="5"/>
            <w:u w:val="single"/>
            <w:lang w:val="en" w:eastAsia="en-GB"/>
          </w:rPr>
          <w:t>info@localpensionspartnership.org.uk</w:t>
        </w:r>
      </w:hyperlink>
    </w:p>
    <w:p w:rsidR="008E2DA3" w:rsidRDefault="008E2DA3" w:rsidP="000D1CED">
      <w:pPr>
        <w:shd w:val="clear" w:color="auto" w:fill="FFFFFF"/>
        <w:autoSpaceDE/>
        <w:autoSpaceDN/>
        <w:adjustRightInd/>
        <w:spacing w:after="0" w:line="390" w:lineRule="atLeast"/>
        <w:jc w:val="left"/>
        <w:rPr>
          <w:rFonts w:eastAsia="Times New Roman" w:cs="Arial"/>
          <w:color w:val="auto"/>
          <w:spacing w:val="5"/>
          <w:lang w:val="en" w:eastAsia="en-GB"/>
        </w:rPr>
      </w:pPr>
    </w:p>
    <w:p w:rsidR="000D1CED" w:rsidRPr="008E2DA3" w:rsidRDefault="000D1CED" w:rsidP="000D1CED">
      <w:pPr>
        <w:shd w:val="clear" w:color="auto" w:fill="FFFFFF"/>
        <w:autoSpaceDE/>
        <w:autoSpaceDN/>
        <w:adjustRightInd/>
        <w:spacing w:after="0" w:line="390" w:lineRule="atLeast"/>
        <w:jc w:val="left"/>
        <w:rPr>
          <w:rFonts w:eastAsia="Times New Roman" w:cs="Arial"/>
          <w:color w:val="auto"/>
          <w:spacing w:val="5"/>
          <w:lang w:val="en" w:eastAsia="en-GB"/>
        </w:rPr>
      </w:pPr>
      <w:r w:rsidRPr="008E2DA3">
        <w:rPr>
          <w:rFonts w:eastAsia="Times New Roman" w:cs="Arial"/>
          <w:color w:val="auto"/>
          <w:spacing w:val="5"/>
          <w:lang w:val="en" w:eastAsia="en-GB"/>
        </w:rPr>
        <w:t>2nd Floor</w:t>
      </w:r>
      <w:r w:rsidRPr="008E2DA3">
        <w:rPr>
          <w:rFonts w:eastAsia="Times New Roman" w:cs="Arial"/>
          <w:color w:val="auto"/>
          <w:spacing w:val="5"/>
          <w:lang w:val="en" w:eastAsia="en-GB"/>
        </w:rPr>
        <w:br/>
        <w:t>169 Union Street</w:t>
      </w:r>
      <w:r w:rsidRPr="008E2DA3">
        <w:rPr>
          <w:rFonts w:eastAsia="Times New Roman" w:cs="Arial"/>
          <w:color w:val="auto"/>
          <w:spacing w:val="5"/>
          <w:lang w:val="en" w:eastAsia="en-GB"/>
        </w:rPr>
        <w:br/>
        <w:t>London SE1 0LL</w:t>
      </w:r>
      <w:r w:rsidRPr="008E2DA3">
        <w:rPr>
          <w:rFonts w:eastAsia="Times New Roman" w:cs="Arial"/>
          <w:color w:val="auto"/>
          <w:spacing w:val="5"/>
          <w:lang w:val="en" w:eastAsia="en-GB"/>
        </w:rPr>
        <w:br/>
        <w:t xml:space="preserve">Phone: </w:t>
      </w:r>
      <w:hyperlink r:id="rId51" w:history="1">
        <w:r w:rsidRPr="008E2DA3">
          <w:rPr>
            <w:rFonts w:eastAsia="Times New Roman" w:cs="Arial"/>
            <w:bCs/>
            <w:color w:val="auto"/>
            <w:spacing w:val="5"/>
            <w:lang w:val="en" w:eastAsia="en-GB"/>
          </w:rPr>
          <w:t>020 7369 6000</w:t>
        </w:r>
      </w:hyperlink>
      <w:r w:rsidRPr="008E2DA3">
        <w:rPr>
          <w:rFonts w:eastAsia="Times New Roman" w:cs="Arial"/>
          <w:color w:val="auto"/>
          <w:spacing w:val="5"/>
          <w:lang w:val="en" w:eastAsia="en-GB"/>
        </w:rPr>
        <w:br/>
        <w:t xml:space="preserve">Email: </w:t>
      </w:r>
      <w:hyperlink r:id="rId52" w:history="1">
        <w:r w:rsidRPr="008E2DA3">
          <w:rPr>
            <w:rFonts w:eastAsia="Times New Roman" w:cs="Arial"/>
            <w:b/>
            <w:bCs/>
            <w:color w:val="auto"/>
            <w:spacing w:val="5"/>
            <w:u w:val="single"/>
            <w:lang w:val="en" w:eastAsia="en-GB"/>
          </w:rPr>
          <w:t>i</w:t>
        </w:r>
        <w:r w:rsidRPr="008E2DA3">
          <w:rPr>
            <w:rFonts w:eastAsia="Times New Roman" w:cs="Arial"/>
            <w:bCs/>
            <w:color w:val="5B9BD5" w:themeColor="accent1"/>
            <w:spacing w:val="5"/>
            <w:u w:val="single"/>
            <w:lang w:val="en" w:eastAsia="en-GB"/>
          </w:rPr>
          <w:t>nfo@localpensionspartnership.org.uk</w:t>
        </w:r>
      </w:hyperlink>
    </w:p>
    <w:p w:rsidR="000D1CED" w:rsidRPr="00D968AF" w:rsidRDefault="000D1CED" w:rsidP="00FF6F6A">
      <w:pPr>
        <w:rPr>
          <w:b/>
          <w:sz w:val="28"/>
          <w:szCs w:val="28"/>
          <w:highlight w:val="yellow"/>
        </w:rPr>
      </w:pPr>
    </w:p>
    <w:p w:rsidR="00FF6F6A" w:rsidRPr="006F0674" w:rsidRDefault="00FF6F6A" w:rsidP="00FF6F6A">
      <w:pPr>
        <w:rPr>
          <w:b/>
          <w:sz w:val="28"/>
          <w:szCs w:val="28"/>
          <w:highlight w:val="yellow"/>
        </w:rPr>
      </w:pPr>
    </w:p>
    <w:p w:rsidR="00FF6F6A" w:rsidRPr="008E2DA3" w:rsidRDefault="0023599A" w:rsidP="00FF6F6A">
      <w:pPr>
        <w:rPr>
          <w:rFonts w:cs="Arial"/>
          <w:b/>
          <w:bCs/>
          <w:sz w:val="28"/>
          <w:szCs w:val="28"/>
        </w:rPr>
      </w:pPr>
      <w:r w:rsidRPr="008E2DA3">
        <w:rPr>
          <w:rFonts w:cs="Arial"/>
          <w:b/>
          <w:bCs/>
          <w:sz w:val="28"/>
          <w:szCs w:val="28"/>
        </w:rPr>
        <w:t>Pension Fund Accounts</w:t>
      </w:r>
    </w:p>
    <w:p w:rsidR="00FF6F6A" w:rsidRPr="00E84EEB" w:rsidRDefault="0023599A" w:rsidP="00FF6F6A">
      <w:pPr>
        <w:rPr>
          <w:rFonts w:cs="Arial"/>
          <w:bCs/>
        </w:rPr>
      </w:pPr>
      <w:r w:rsidRPr="008E2DA3">
        <w:rPr>
          <w:rFonts w:cs="Arial"/>
          <w:bCs/>
        </w:rPr>
        <w:t>Abigail Leech</w:t>
      </w:r>
    </w:p>
    <w:p w:rsidR="00FF6F6A" w:rsidRPr="00E84EEB" w:rsidRDefault="0023599A" w:rsidP="00FF6F6A">
      <w:pPr>
        <w:rPr>
          <w:rFonts w:cs="Arial"/>
          <w:bCs/>
        </w:rPr>
      </w:pPr>
      <w:r w:rsidRPr="00E84EEB">
        <w:rPr>
          <w:rFonts w:cs="Arial"/>
          <w:bCs/>
        </w:rPr>
        <w:t>Head of Pension Fund</w:t>
      </w:r>
    </w:p>
    <w:p w:rsidR="00FF6F6A" w:rsidRPr="00E84EEB" w:rsidRDefault="0023599A" w:rsidP="00FF6F6A">
      <w:pPr>
        <w:rPr>
          <w:rFonts w:cs="Arial"/>
          <w:bCs/>
        </w:rPr>
      </w:pPr>
      <w:r w:rsidRPr="00E84EEB">
        <w:rPr>
          <w:rFonts w:cs="Arial"/>
          <w:bCs/>
        </w:rPr>
        <w:t>Telephone:</w:t>
      </w:r>
      <w:r w:rsidRPr="00E84EEB">
        <w:rPr>
          <w:rFonts w:cs="Arial"/>
          <w:bCs/>
        </w:rPr>
        <w:tab/>
        <w:t>01772 530808</w:t>
      </w:r>
    </w:p>
    <w:p w:rsidR="00FF6F6A" w:rsidRPr="008E2DA3" w:rsidRDefault="0023599A" w:rsidP="00FF6F6A">
      <w:pPr>
        <w:rPr>
          <w:rFonts w:cs="Arial"/>
          <w:bCs/>
        </w:rPr>
      </w:pPr>
      <w:r w:rsidRPr="00E84EEB">
        <w:rPr>
          <w:rFonts w:cs="Arial"/>
          <w:bCs/>
        </w:rPr>
        <w:t xml:space="preserve">E-mail: </w:t>
      </w:r>
      <w:hyperlink r:id="rId53" w:history="1">
        <w:r w:rsidRPr="008E2DA3">
          <w:rPr>
            <w:rStyle w:val="Hyperlink"/>
            <w:bCs/>
            <w:color w:val="5B9BD5" w:themeColor="accent1"/>
          </w:rPr>
          <w:t>abigail.leech@lancashire.gov.uk</w:t>
        </w:r>
      </w:hyperlink>
    </w:p>
    <w:p w:rsidR="00FF6F6A" w:rsidRPr="00E84EEB" w:rsidRDefault="00FF6F6A" w:rsidP="00FF6F6A">
      <w:pPr>
        <w:rPr>
          <w:b/>
          <w:sz w:val="28"/>
          <w:szCs w:val="28"/>
          <w:highlight w:val="yellow"/>
        </w:rPr>
      </w:pPr>
    </w:p>
    <w:p w:rsidR="00FF6F6A" w:rsidRPr="00E87CD5" w:rsidRDefault="00FF6F6A" w:rsidP="00FF6F6A">
      <w:pPr>
        <w:rPr>
          <w:rFonts w:cs="Arial"/>
          <w:bCs/>
        </w:rPr>
      </w:pPr>
    </w:p>
    <w:p w:rsidR="00FF6F6A" w:rsidRDefault="00FF6F6A" w:rsidP="00FF6F6A">
      <w:pPr>
        <w:rPr>
          <w:rFonts w:cs="Arial"/>
          <w:bCs/>
        </w:rPr>
      </w:pPr>
    </w:p>
    <w:p w:rsidR="00FF6F6A" w:rsidRPr="0011070C" w:rsidRDefault="0023599A" w:rsidP="00FF6F6A">
      <w:pPr>
        <w:autoSpaceDE/>
        <w:autoSpaceDN/>
        <w:adjustRightInd/>
        <w:spacing w:after="0"/>
        <w:jc w:val="left"/>
        <w:rPr>
          <w:sz w:val="32"/>
          <w:szCs w:val="32"/>
        </w:rPr>
      </w:pPr>
      <w:r w:rsidRPr="0011070C">
        <w:rPr>
          <w:b/>
          <w:snapToGrid w:val="0"/>
          <w:sz w:val="32"/>
          <w:szCs w:val="32"/>
        </w:rPr>
        <w:t>K   Glossary</w:t>
      </w:r>
    </w:p>
    <w:p w:rsidR="00FF6F6A" w:rsidRDefault="00FF6F6A" w:rsidP="00FF6F6A"/>
    <w:p w:rsidR="00FF6F6A" w:rsidRPr="002F17B5" w:rsidRDefault="0023599A" w:rsidP="00FF6F6A">
      <w:pPr>
        <w:spacing w:after="0"/>
        <w:contextualSpacing/>
        <w:rPr>
          <w:b/>
        </w:rPr>
      </w:pPr>
      <w:r w:rsidRPr="002F17B5">
        <w:rPr>
          <w:b/>
        </w:rPr>
        <w:t xml:space="preserve">Accounting </w:t>
      </w:r>
      <w:r>
        <w:rPr>
          <w:b/>
        </w:rPr>
        <w:t>p</w:t>
      </w:r>
      <w:r w:rsidRPr="002F17B5">
        <w:rPr>
          <w:b/>
        </w:rPr>
        <w:t>olicies</w:t>
      </w:r>
    </w:p>
    <w:p w:rsidR="00FF6F6A" w:rsidRDefault="0023599A" w:rsidP="00FF6F6A">
      <w:pPr>
        <w:spacing w:after="240"/>
      </w:pPr>
      <w:r w:rsidRPr="002F17B5">
        <w:t>The specific principles, bases, conventions, rules and practices applied by the authority in preparing and presenting financial statements.</w:t>
      </w:r>
    </w:p>
    <w:p w:rsidR="00FF6F6A" w:rsidRPr="0071392D" w:rsidRDefault="0023599A" w:rsidP="00FF6F6A">
      <w:pPr>
        <w:spacing w:after="0"/>
        <w:rPr>
          <w:b/>
        </w:rPr>
      </w:pPr>
      <w:r w:rsidRPr="0071392D">
        <w:rPr>
          <w:b/>
        </w:rPr>
        <w:t>Accrual</w:t>
      </w:r>
    </w:p>
    <w:p w:rsidR="00FF6F6A" w:rsidRDefault="0023599A" w:rsidP="00FF6F6A">
      <w:pPr>
        <w:spacing w:after="0"/>
      </w:pPr>
      <w:r>
        <w:t>The concept that income and expenditure are recognised as they are earned or incurred, not as cash is received or paid.</w:t>
      </w:r>
    </w:p>
    <w:p w:rsidR="00FF6F6A" w:rsidRDefault="00FF6F6A" w:rsidP="00FF6F6A">
      <w:pPr>
        <w:spacing w:after="0"/>
      </w:pPr>
    </w:p>
    <w:p w:rsidR="00FF6F6A" w:rsidRDefault="0023599A" w:rsidP="00FF6F6A">
      <w:pPr>
        <w:spacing w:after="0"/>
        <w:jc w:val="left"/>
        <w:rPr>
          <w:b/>
        </w:rPr>
      </w:pPr>
      <w:r w:rsidRPr="00442678">
        <w:rPr>
          <w:b/>
        </w:rPr>
        <w:t xml:space="preserve">Active </w:t>
      </w:r>
      <w:r>
        <w:rPr>
          <w:b/>
        </w:rPr>
        <w:t>m</w:t>
      </w:r>
      <w:r w:rsidRPr="00442678">
        <w:rPr>
          <w:b/>
        </w:rPr>
        <w:t>anagement</w:t>
      </w:r>
    </w:p>
    <w:p w:rsidR="00FF6F6A" w:rsidRDefault="0023599A" w:rsidP="00FF6F6A">
      <w:pPr>
        <w:spacing w:after="0"/>
        <w:jc w:val="left"/>
      </w:pPr>
      <w:r>
        <w:t>Approach to investment management which aims to outperform a particular market index or benchmark through asset allocation and/or stock selection decisions.</w:t>
      </w:r>
    </w:p>
    <w:p w:rsidR="00FF6F6A" w:rsidRDefault="00FF6F6A" w:rsidP="00FF6F6A">
      <w:pPr>
        <w:spacing w:after="0"/>
        <w:jc w:val="left"/>
      </w:pPr>
    </w:p>
    <w:p w:rsidR="00FF6F6A" w:rsidRPr="006D0C8B" w:rsidRDefault="0023599A" w:rsidP="00FF6F6A">
      <w:pPr>
        <w:spacing w:after="0"/>
        <w:jc w:val="left"/>
        <w:rPr>
          <w:b/>
        </w:rPr>
      </w:pPr>
      <w:r w:rsidRPr="006D0C8B">
        <w:rPr>
          <w:b/>
        </w:rPr>
        <w:t>Actuarial strain</w:t>
      </w:r>
    </w:p>
    <w:p w:rsidR="00FF6F6A" w:rsidRDefault="0023599A" w:rsidP="00FF6F6A">
      <w:pPr>
        <w:spacing w:after="0"/>
        <w:jc w:val="left"/>
      </w:pPr>
      <w:r>
        <w:t>This is a charge paid by employers to the pension fund for paying pensions early.</w:t>
      </w:r>
    </w:p>
    <w:p w:rsidR="00FF6F6A" w:rsidRDefault="00FF6F6A" w:rsidP="00FF6F6A">
      <w:pPr>
        <w:spacing w:after="0"/>
        <w:jc w:val="left"/>
      </w:pPr>
    </w:p>
    <w:p w:rsidR="00FF6F6A" w:rsidRPr="0071392D" w:rsidRDefault="0023599A" w:rsidP="00FF6F6A">
      <w:pPr>
        <w:spacing w:after="0"/>
        <w:jc w:val="left"/>
        <w:rPr>
          <w:b/>
        </w:rPr>
      </w:pPr>
      <w:r w:rsidRPr="0071392D">
        <w:rPr>
          <w:b/>
        </w:rPr>
        <w:t>Actuarial Valuation</w:t>
      </w:r>
    </w:p>
    <w:p w:rsidR="00FF6F6A" w:rsidRDefault="0023599A" w:rsidP="00FF6F6A">
      <w:pPr>
        <w:spacing w:after="0"/>
        <w:jc w:val="left"/>
      </w:pPr>
      <w:r>
        <w:t>An investigation by an actuary into the ability of the Fund to meet its liabilities.  For the LGPS the fund actuary will assess the funding level of each participating employer and agree contribution rates with the administering authority to fund the cost of new benefits and make good any existing deficits.</w:t>
      </w:r>
    </w:p>
    <w:p w:rsidR="00FF6F6A" w:rsidRDefault="00FF6F6A" w:rsidP="00FF6F6A">
      <w:pPr>
        <w:spacing w:after="0"/>
        <w:jc w:val="left"/>
      </w:pPr>
    </w:p>
    <w:p w:rsidR="00FF6F6A" w:rsidRPr="00B3216A" w:rsidRDefault="0023599A" w:rsidP="00FF6F6A">
      <w:pPr>
        <w:spacing w:after="0"/>
        <w:jc w:val="left"/>
        <w:rPr>
          <w:b/>
        </w:rPr>
      </w:pPr>
      <w:r w:rsidRPr="00B3216A">
        <w:rPr>
          <w:b/>
        </w:rPr>
        <w:t>Actuary</w:t>
      </w:r>
    </w:p>
    <w:p w:rsidR="00FF6F6A" w:rsidRDefault="0023599A" w:rsidP="00FF6F6A">
      <w:pPr>
        <w:spacing w:after="0"/>
        <w:jc w:val="left"/>
      </w:pPr>
      <w:r>
        <w:t>An independent consultant who advises the scheme and every three years formally reviews the assets and liabilities of the scheme and produces a report on the scheme's financial position, known as the Actuarial Valuation.</w:t>
      </w:r>
    </w:p>
    <w:p w:rsidR="00FF6F6A" w:rsidRDefault="00FF6F6A" w:rsidP="00FF6F6A">
      <w:pPr>
        <w:spacing w:after="0"/>
        <w:jc w:val="left"/>
      </w:pPr>
    </w:p>
    <w:p w:rsidR="00FF6F6A" w:rsidRPr="006D0C8B" w:rsidRDefault="0023599A" w:rsidP="00FF6F6A">
      <w:pPr>
        <w:spacing w:after="0"/>
        <w:jc w:val="left"/>
        <w:rPr>
          <w:b/>
        </w:rPr>
      </w:pPr>
      <w:r w:rsidRPr="006D0C8B">
        <w:rPr>
          <w:b/>
        </w:rPr>
        <w:t>Additional voluntary contributions (AVC's)</w:t>
      </w:r>
    </w:p>
    <w:p w:rsidR="00FF6F6A" w:rsidRDefault="0023599A" w:rsidP="00FF6F6A">
      <w:pPr>
        <w:spacing w:after="0"/>
        <w:jc w:val="left"/>
      </w:pPr>
      <w:r>
        <w:t>This is an extra contribution a member can pay to their own pension scheme to increase future pension benefits.</w:t>
      </w:r>
    </w:p>
    <w:p w:rsidR="00FF6F6A" w:rsidRDefault="00FF6F6A" w:rsidP="00FF6F6A">
      <w:pPr>
        <w:spacing w:after="0"/>
        <w:jc w:val="left"/>
      </w:pPr>
    </w:p>
    <w:p w:rsidR="00FF6F6A" w:rsidRPr="006D0C8B" w:rsidRDefault="0023599A" w:rsidP="00FF6F6A">
      <w:pPr>
        <w:spacing w:after="0"/>
        <w:jc w:val="left"/>
        <w:rPr>
          <w:b/>
        </w:rPr>
      </w:pPr>
      <w:r w:rsidRPr="006D0C8B">
        <w:rPr>
          <w:b/>
        </w:rPr>
        <w:t>Administering authority</w:t>
      </w:r>
    </w:p>
    <w:p w:rsidR="00FF6F6A" w:rsidRDefault="0023599A" w:rsidP="00FF6F6A">
      <w:pPr>
        <w:spacing w:after="0"/>
        <w:jc w:val="left"/>
      </w:pPr>
      <w:r>
        <w:t>A local authority required to maintain a pension fund under LGPS regulations.  Within the geographical boundary of Lancashire this is Lancashire County Council.</w:t>
      </w:r>
    </w:p>
    <w:p w:rsidR="00FF6F6A" w:rsidRPr="00FD25E6" w:rsidRDefault="00FF6F6A" w:rsidP="00FF6F6A">
      <w:pPr>
        <w:spacing w:after="0"/>
        <w:jc w:val="left"/>
        <w:rPr>
          <w:b/>
        </w:rPr>
      </w:pPr>
    </w:p>
    <w:p w:rsidR="00FF6F6A" w:rsidRPr="00FD25E6" w:rsidRDefault="0023599A" w:rsidP="00FF6F6A">
      <w:pPr>
        <w:spacing w:after="0"/>
        <w:jc w:val="left"/>
        <w:rPr>
          <w:b/>
        </w:rPr>
      </w:pPr>
      <w:r w:rsidRPr="00FD25E6">
        <w:rPr>
          <w:b/>
        </w:rPr>
        <w:t>Admitted bodies</w:t>
      </w:r>
    </w:p>
    <w:p w:rsidR="00FF6F6A" w:rsidRDefault="0023599A" w:rsidP="00FF6F6A">
      <w:pPr>
        <w:spacing w:after="0"/>
        <w:jc w:val="left"/>
      </w:pPr>
      <w:r>
        <w:t>An organisation which, under Pension Scheme Regulations, is able to apply to the administering authority to join the scheme (e.g. a contractor providing services to the council or another scheduled body).  Upon acceptance, an admission agreement is prepared admitting the organisation and allowing its employees to join.</w:t>
      </w:r>
    </w:p>
    <w:p w:rsidR="00FF6F6A" w:rsidRDefault="00FF6F6A" w:rsidP="00FF6F6A">
      <w:pPr>
        <w:spacing w:after="0"/>
        <w:jc w:val="left"/>
      </w:pPr>
    </w:p>
    <w:p w:rsidR="00FF6F6A" w:rsidRPr="006D0C8B" w:rsidRDefault="0023599A" w:rsidP="00FF6F6A">
      <w:pPr>
        <w:spacing w:after="0"/>
        <w:jc w:val="left"/>
        <w:rPr>
          <w:b/>
        </w:rPr>
      </w:pPr>
      <w:r w:rsidRPr="006D0C8B">
        <w:rPr>
          <w:b/>
        </w:rPr>
        <w:t>Alternative investments</w:t>
      </w:r>
    </w:p>
    <w:p w:rsidR="00FF6F6A" w:rsidRDefault="0023599A" w:rsidP="00FF6F6A">
      <w:pPr>
        <w:spacing w:after="0"/>
        <w:jc w:val="left"/>
      </w:pPr>
      <w:r>
        <w:t xml:space="preserve">Investments considered outside of the traditional asset classes of stocks, bonds, cash or property. </w:t>
      </w:r>
    </w:p>
    <w:p w:rsidR="00FF6F6A" w:rsidRDefault="00FF6F6A" w:rsidP="00FF6F6A">
      <w:pPr>
        <w:spacing w:after="0"/>
        <w:jc w:val="left"/>
      </w:pPr>
    </w:p>
    <w:p w:rsidR="00FF6F6A" w:rsidRPr="0071392D" w:rsidRDefault="0023599A" w:rsidP="00FF6F6A">
      <w:pPr>
        <w:spacing w:after="0"/>
        <w:jc w:val="left"/>
        <w:rPr>
          <w:b/>
        </w:rPr>
      </w:pPr>
      <w:r w:rsidRPr="0071392D">
        <w:rPr>
          <w:b/>
        </w:rPr>
        <w:t xml:space="preserve">Asset </w:t>
      </w:r>
      <w:r>
        <w:rPr>
          <w:b/>
        </w:rPr>
        <w:t>a</w:t>
      </w:r>
      <w:r w:rsidRPr="0071392D">
        <w:rPr>
          <w:b/>
        </w:rPr>
        <w:t>llocation</w:t>
      </w:r>
    </w:p>
    <w:p w:rsidR="00FF6F6A" w:rsidRDefault="0023599A" w:rsidP="00FF6F6A">
      <w:pPr>
        <w:spacing w:after="0"/>
        <w:jc w:val="left"/>
      </w:pPr>
      <w:r>
        <w:t>Distribution of investments across asset categories, such as cash, equities and bonds.  Asset allocation affects both risk and return and is a central concept in financial planning and investment management.</w:t>
      </w:r>
    </w:p>
    <w:p w:rsidR="00FF6F6A" w:rsidRDefault="00FF6F6A" w:rsidP="00FF6F6A">
      <w:pPr>
        <w:spacing w:after="0"/>
        <w:jc w:val="left"/>
      </w:pPr>
    </w:p>
    <w:p w:rsidR="00FF6F6A" w:rsidRPr="00FD25E6" w:rsidRDefault="0023599A" w:rsidP="00FF6F6A">
      <w:pPr>
        <w:spacing w:after="0"/>
        <w:jc w:val="left"/>
        <w:rPr>
          <w:b/>
        </w:rPr>
      </w:pPr>
      <w:r w:rsidRPr="00FD25E6">
        <w:rPr>
          <w:b/>
        </w:rPr>
        <w:t>Assumed pensionable pay</w:t>
      </w:r>
    </w:p>
    <w:p w:rsidR="00FF6F6A" w:rsidRDefault="0023599A" w:rsidP="00FF6F6A">
      <w:pPr>
        <w:spacing w:after="0"/>
        <w:jc w:val="left"/>
      </w:pPr>
      <w:r>
        <w:t>Where an employee loses pay due to sickness or reduced pay family related leave, the pay actually received is substituted with "assumed pensionable pay" when calculating "career average" benefits and employer contributions.  Assumed pensionable pay is the average of pay in the three months prior to the month in which the reduced pay occurs.</w:t>
      </w:r>
    </w:p>
    <w:p w:rsidR="00FF6F6A" w:rsidRDefault="00FF6F6A" w:rsidP="00FF6F6A">
      <w:pPr>
        <w:spacing w:after="0"/>
        <w:jc w:val="left"/>
      </w:pPr>
    </w:p>
    <w:p w:rsidR="00FF6F6A" w:rsidRPr="00FD25E6" w:rsidRDefault="0023599A" w:rsidP="00FF6F6A">
      <w:pPr>
        <w:spacing w:after="0"/>
        <w:jc w:val="left"/>
        <w:rPr>
          <w:b/>
        </w:rPr>
      </w:pPr>
      <w:r w:rsidRPr="00FD25E6">
        <w:rPr>
          <w:b/>
        </w:rPr>
        <w:t>Auditor</w:t>
      </w:r>
    </w:p>
    <w:p w:rsidR="00FF6F6A" w:rsidRDefault="0023599A" w:rsidP="00FF6F6A">
      <w:pPr>
        <w:spacing w:after="0"/>
        <w:jc w:val="left"/>
      </w:pPr>
      <w:r>
        <w:t>An independent qualified accountant who is required to verify and agree the Pension Fund accounts and issue an opinion on their accuracy.</w:t>
      </w:r>
    </w:p>
    <w:p w:rsidR="00FF6F6A" w:rsidRDefault="00FF6F6A" w:rsidP="00FF6F6A">
      <w:pPr>
        <w:spacing w:after="0"/>
        <w:jc w:val="left"/>
      </w:pPr>
    </w:p>
    <w:p w:rsidR="00FF6F6A" w:rsidRPr="006D0C8B" w:rsidRDefault="0023599A" w:rsidP="00FF6F6A">
      <w:pPr>
        <w:spacing w:after="0"/>
        <w:jc w:val="left"/>
        <w:rPr>
          <w:b/>
        </w:rPr>
      </w:pPr>
      <w:r w:rsidRPr="006D0C8B">
        <w:rPr>
          <w:b/>
        </w:rPr>
        <w:t>Auto enrolment</w:t>
      </w:r>
    </w:p>
    <w:p w:rsidR="00FF6F6A" w:rsidRDefault="0023599A" w:rsidP="00FF6F6A">
      <w:pPr>
        <w:spacing w:after="0"/>
        <w:jc w:val="left"/>
      </w:pPr>
      <w:r>
        <w:t>UK employers have to automatically enrol their staff into a workplace pension if they meet the criteria.  The law on workplace pensions has now changed and every employer must comply.</w:t>
      </w:r>
    </w:p>
    <w:p w:rsidR="00FF6F6A" w:rsidRDefault="00FF6F6A" w:rsidP="00FF6F6A">
      <w:pPr>
        <w:spacing w:after="0"/>
        <w:jc w:val="left"/>
      </w:pPr>
    </w:p>
    <w:p w:rsidR="00FF6F6A" w:rsidRPr="008344E9" w:rsidRDefault="0023599A" w:rsidP="00FF6F6A">
      <w:pPr>
        <w:spacing w:after="0"/>
        <w:jc w:val="left"/>
        <w:rPr>
          <w:b/>
        </w:rPr>
      </w:pPr>
      <w:r w:rsidRPr="008344E9">
        <w:rPr>
          <w:b/>
        </w:rPr>
        <w:t>Benchmark</w:t>
      </w:r>
    </w:p>
    <w:p w:rsidR="00FF6F6A" w:rsidRDefault="0023599A" w:rsidP="00FF6F6A">
      <w:pPr>
        <w:spacing w:after="0"/>
        <w:jc w:val="left"/>
      </w:pPr>
      <w:r>
        <w:t>These are investment performance standards that we expect our investment managers to achieve and against which we measure their investment return.</w:t>
      </w:r>
    </w:p>
    <w:p w:rsidR="00FF6F6A" w:rsidRDefault="00FF6F6A" w:rsidP="00FF6F6A">
      <w:pPr>
        <w:spacing w:after="0"/>
        <w:jc w:val="left"/>
      </w:pPr>
    </w:p>
    <w:p w:rsidR="00FF6F6A" w:rsidRPr="005F3B3D" w:rsidRDefault="0023599A" w:rsidP="00FF6F6A">
      <w:pPr>
        <w:spacing w:after="0"/>
        <w:jc w:val="left"/>
        <w:rPr>
          <w:b/>
        </w:rPr>
      </w:pPr>
      <w:r w:rsidRPr="005F3B3D">
        <w:rPr>
          <w:b/>
        </w:rPr>
        <w:t>Bid price</w:t>
      </w:r>
    </w:p>
    <w:p w:rsidR="00FF6F6A" w:rsidRDefault="0023599A" w:rsidP="00FF6F6A">
      <w:pPr>
        <w:spacing w:after="0"/>
        <w:jc w:val="left"/>
      </w:pPr>
      <w:r>
        <w:t>The price a buyer pays for a stock.</w:t>
      </w:r>
    </w:p>
    <w:p w:rsidR="00FF6F6A" w:rsidRDefault="00FF6F6A" w:rsidP="00FF6F6A">
      <w:pPr>
        <w:spacing w:after="0"/>
        <w:jc w:val="left"/>
      </w:pPr>
    </w:p>
    <w:p w:rsidR="00FF6F6A" w:rsidRPr="005F3B3D" w:rsidRDefault="0023599A" w:rsidP="00FF6F6A">
      <w:pPr>
        <w:spacing w:after="0"/>
        <w:jc w:val="left"/>
        <w:rPr>
          <w:b/>
        </w:rPr>
      </w:pPr>
      <w:r w:rsidRPr="005F3B3D">
        <w:rPr>
          <w:b/>
        </w:rPr>
        <w:t>Bonds</w:t>
      </w:r>
    </w:p>
    <w:p w:rsidR="00FF6F6A" w:rsidRDefault="0023599A" w:rsidP="00FF6F6A">
      <w:pPr>
        <w:spacing w:after="0"/>
        <w:jc w:val="left"/>
      </w:pPr>
      <w:r>
        <w:t xml:space="preserve">Loans, with a fixed rate of interest, made to an issuer (often a government or a company) which undertakes to repay the loan at an agreed later date. </w:t>
      </w:r>
    </w:p>
    <w:p w:rsidR="00FF6F6A" w:rsidRDefault="00FF6F6A" w:rsidP="00FF6F6A">
      <w:pPr>
        <w:spacing w:after="0"/>
        <w:jc w:val="left"/>
      </w:pPr>
    </w:p>
    <w:p w:rsidR="00FF6F6A" w:rsidRDefault="0023599A" w:rsidP="00FF6F6A">
      <w:pPr>
        <w:spacing w:after="0"/>
        <w:jc w:val="left"/>
      </w:pPr>
      <w:r w:rsidRPr="00117E11">
        <w:rPr>
          <w:b/>
        </w:rPr>
        <w:t>Career average revalued earnings (CARE) scheme</w:t>
      </w:r>
      <w:r>
        <w:t>.</w:t>
      </w:r>
    </w:p>
    <w:p w:rsidR="00FF6F6A" w:rsidRDefault="0023599A" w:rsidP="00FF6F6A">
      <w:pPr>
        <w:spacing w:after="0"/>
        <w:jc w:val="left"/>
      </w:pPr>
      <w:r>
        <w:t>With effect from 1 April 2014, the benefits accrued by members of the LGPS will be in the form of CARE benefits.  Every year a member accrues a pension benefit equivalent to 1/49</w:t>
      </w:r>
      <w:r w:rsidRPr="00230F42">
        <w:rPr>
          <w:vertAlign w:val="superscript"/>
        </w:rPr>
        <w:t>th</w:t>
      </w:r>
      <w:r>
        <w:t xml:space="preserve"> of their pensionable pay in that year.  The pension accrued will increase in line with the annual change in the consumer prices index over the period to retirement.</w:t>
      </w:r>
    </w:p>
    <w:p w:rsidR="00FF6F6A" w:rsidRDefault="00FF6F6A" w:rsidP="00FF6F6A">
      <w:pPr>
        <w:spacing w:after="0"/>
        <w:jc w:val="left"/>
      </w:pPr>
    </w:p>
    <w:p w:rsidR="00FF6F6A" w:rsidRDefault="00FF6F6A" w:rsidP="00FF6F6A">
      <w:pPr>
        <w:spacing w:after="0"/>
        <w:jc w:val="left"/>
      </w:pPr>
    </w:p>
    <w:p w:rsidR="00FF6F6A" w:rsidRPr="00117E11" w:rsidRDefault="0023599A" w:rsidP="00FF6F6A">
      <w:pPr>
        <w:spacing w:after="0"/>
        <w:jc w:val="left"/>
        <w:rPr>
          <w:b/>
        </w:rPr>
      </w:pPr>
      <w:r w:rsidRPr="00117E11">
        <w:rPr>
          <w:b/>
        </w:rPr>
        <w:t>Cash and cash equivalents</w:t>
      </w:r>
    </w:p>
    <w:p w:rsidR="00FF6F6A" w:rsidRDefault="0023599A" w:rsidP="00FF6F6A">
      <w:pPr>
        <w:spacing w:after="0"/>
        <w:jc w:val="left"/>
      </w:pPr>
      <w:r>
        <w:t>Short term (less than 3 months), highly liquid investments that are readily convertible to known amounts of cash and which are subject to an insignificant risk of changes in value.</w:t>
      </w:r>
    </w:p>
    <w:p w:rsidR="00FF6F6A" w:rsidRDefault="00FF6F6A" w:rsidP="00FF6F6A">
      <w:pPr>
        <w:spacing w:after="0"/>
        <w:jc w:val="left"/>
      </w:pPr>
    </w:p>
    <w:p w:rsidR="00FF6F6A" w:rsidRPr="00495172" w:rsidRDefault="0023599A" w:rsidP="00FF6F6A">
      <w:pPr>
        <w:spacing w:after="0"/>
        <w:jc w:val="left"/>
        <w:rPr>
          <w:b/>
        </w:rPr>
      </w:pPr>
      <w:r w:rsidRPr="00495172">
        <w:rPr>
          <w:b/>
        </w:rPr>
        <w:t xml:space="preserve">Collateral </w:t>
      </w:r>
    </w:p>
    <w:p w:rsidR="00FF6F6A" w:rsidRDefault="0023599A" w:rsidP="00FF6F6A">
      <w:pPr>
        <w:spacing w:after="0"/>
        <w:jc w:val="left"/>
      </w:pPr>
      <w:r>
        <w:t>An asset (cash or securities) posted from one counterparty to another, and held as a guarantee against the value of a specified portfolio of trades or other transactions.</w:t>
      </w:r>
    </w:p>
    <w:p w:rsidR="00FF6F6A" w:rsidRDefault="00FF6F6A" w:rsidP="00FF6F6A">
      <w:pPr>
        <w:spacing w:after="0"/>
        <w:jc w:val="left"/>
      </w:pPr>
    </w:p>
    <w:p w:rsidR="00FF6F6A" w:rsidRPr="00495172" w:rsidRDefault="0023599A" w:rsidP="00FF6F6A">
      <w:pPr>
        <w:spacing w:after="0"/>
        <w:jc w:val="left"/>
        <w:rPr>
          <w:b/>
        </w:rPr>
      </w:pPr>
      <w:r w:rsidRPr="00495172">
        <w:rPr>
          <w:b/>
        </w:rPr>
        <w:t>Conflicts of interest</w:t>
      </w:r>
    </w:p>
    <w:p w:rsidR="00FF6F6A" w:rsidRDefault="0023599A" w:rsidP="00FF6F6A">
      <w:pPr>
        <w:spacing w:after="0"/>
        <w:jc w:val="left"/>
      </w:pPr>
      <w:r>
        <w:t>Real or apparent instances where a person or firm has an incentive to serve one interest at the expense of another.  Some of those conflicts are inherent in any large, diversified organisation, while others stem from the nature of the services offered to clients.  Those conflicts are managed through disclosure and with policies and procedures that are designed to protect client's interests.  The appearance of a conflict of interest is present if there is a potential for the personal interests of an individual to clash with fiduciary duties.</w:t>
      </w:r>
    </w:p>
    <w:p w:rsidR="00FF6F6A" w:rsidRDefault="00FF6F6A" w:rsidP="00FF6F6A">
      <w:pPr>
        <w:spacing w:after="0"/>
        <w:jc w:val="left"/>
      </w:pPr>
    </w:p>
    <w:p w:rsidR="00FF6F6A" w:rsidRPr="006C5235" w:rsidRDefault="0023599A" w:rsidP="00FF6F6A">
      <w:pPr>
        <w:spacing w:after="0"/>
        <w:jc w:val="left"/>
        <w:rPr>
          <w:b/>
        </w:rPr>
      </w:pPr>
      <w:r w:rsidRPr="006C5235">
        <w:rPr>
          <w:b/>
        </w:rPr>
        <w:t>Consumer Price Index (CPI)</w:t>
      </w:r>
    </w:p>
    <w:p w:rsidR="00FF6F6A" w:rsidRDefault="0023599A" w:rsidP="00FF6F6A">
      <w:pPr>
        <w:spacing w:after="0"/>
        <w:jc w:val="left"/>
      </w:pPr>
      <w:r>
        <w:t>CPI is a measure of inflation based on the change in the price of a fixed basket of goods and services.  The difference between CPI and retail price index (RPI) is that CPI excludes some items used in RPI such as mortgage interest payments and council tax, and includes other items not used in RPI.  The basket of goods and services on which CPI is based is expected to provide lower, less volatile, inflation increases.</w:t>
      </w:r>
    </w:p>
    <w:p w:rsidR="00FF6F6A" w:rsidRDefault="00FF6F6A" w:rsidP="00FF6F6A">
      <w:pPr>
        <w:spacing w:after="0"/>
        <w:jc w:val="left"/>
      </w:pPr>
    </w:p>
    <w:p w:rsidR="00FF6F6A" w:rsidRDefault="0023599A" w:rsidP="00FF6F6A">
      <w:pPr>
        <w:spacing w:after="0"/>
        <w:jc w:val="left"/>
        <w:rPr>
          <w:b/>
        </w:rPr>
      </w:pPr>
      <w:r w:rsidRPr="000D01FF">
        <w:rPr>
          <w:b/>
        </w:rPr>
        <w:t>Corporate Governance</w:t>
      </w:r>
    </w:p>
    <w:p w:rsidR="00FF6F6A" w:rsidRDefault="0023599A" w:rsidP="00FF6F6A">
      <w:pPr>
        <w:spacing w:after="0"/>
        <w:jc w:val="left"/>
      </w:pPr>
      <w:r w:rsidRPr="00C11AAF">
        <w:t xml:space="preserve">The </w:t>
      </w:r>
      <w:r>
        <w:t>authoritative rules and controls in place within an organisation required to promote openness, inclusivity, integrity and accountability.</w:t>
      </w:r>
    </w:p>
    <w:p w:rsidR="00FF6F6A" w:rsidRDefault="00FF6F6A" w:rsidP="00FF6F6A">
      <w:pPr>
        <w:spacing w:after="0"/>
        <w:jc w:val="left"/>
      </w:pPr>
    </w:p>
    <w:p w:rsidR="00FF6F6A" w:rsidRPr="00721196" w:rsidRDefault="0023599A" w:rsidP="00FF6F6A">
      <w:pPr>
        <w:spacing w:after="0"/>
        <w:jc w:val="left"/>
        <w:rPr>
          <w:b/>
        </w:rPr>
      </w:pPr>
      <w:r w:rsidRPr="00721196">
        <w:rPr>
          <w:b/>
        </w:rPr>
        <w:t>Creditors</w:t>
      </w:r>
    </w:p>
    <w:p w:rsidR="00FF6F6A" w:rsidRDefault="0023599A" w:rsidP="00FF6F6A">
      <w:pPr>
        <w:spacing w:after="0"/>
        <w:jc w:val="left"/>
      </w:pPr>
      <w:r>
        <w:t>Amounts owed by the Pension Fund for work carried out, goods received or services provided, which has not been paid by the date of the net assets statement.</w:t>
      </w:r>
    </w:p>
    <w:p w:rsidR="00FF6F6A" w:rsidRDefault="00FF6F6A" w:rsidP="00FF6F6A">
      <w:pPr>
        <w:spacing w:after="0"/>
        <w:jc w:val="left"/>
      </w:pPr>
    </w:p>
    <w:p w:rsidR="00FF6F6A" w:rsidRDefault="00FF6F6A" w:rsidP="00FF6F6A">
      <w:pPr>
        <w:spacing w:after="0"/>
        <w:jc w:val="left"/>
      </w:pPr>
    </w:p>
    <w:p w:rsidR="00FF6F6A" w:rsidRPr="00C11AAF" w:rsidRDefault="0023599A" w:rsidP="00FF6F6A">
      <w:pPr>
        <w:spacing w:after="0"/>
        <w:jc w:val="left"/>
        <w:rPr>
          <w:b/>
        </w:rPr>
      </w:pPr>
      <w:r w:rsidRPr="00C11AAF">
        <w:rPr>
          <w:b/>
        </w:rPr>
        <w:t>Credit strategies</w:t>
      </w:r>
    </w:p>
    <w:p w:rsidR="00FF6F6A" w:rsidRDefault="0023599A" w:rsidP="00FF6F6A">
      <w:pPr>
        <w:spacing w:after="0"/>
        <w:jc w:val="left"/>
      </w:pPr>
      <w:r w:rsidRPr="009F73A2">
        <w:t>Credit strategies involve investing in loans or the provision of other credit.  At the safest end this this may involve investing in Gilts – debt issued by government, where risk is perceived to be minimal but where returns are very low; at the other end of the spectrum are loans to heavily indebted companies or even companies who have credit difficulties, where there are higher levels of risk but where significantly enhanced returns are available.</w:t>
      </w:r>
      <w:r>
        <w:rPr>
          <w:color w:val="1F497D"/>
        </w:rPr>
        <w:t xml:space="preserve">  </w:t>
      </w:r>
    </w:p>
    <w:p w:rsidR="00FF6F6A" w:rsidRDefault="00FF6F6A" w:rsidP="00FF6F6A">
      <w:pPr>
        <w:spacing w:after="0"/>
        <w:jc w:val="left"/>
      </w:pPr>
    </w:p>
    <w:p w:rsidR="00FF6F6A" w:rsidRDefault="0023599A" w:rsidP="00FF6F6A">
      <w:pPr>
        <w:spacing w:after="0"/>
        <w:jc w:val="left"/>
        <w:rPr>
          <w:b/>
        </w:rPr>
      </w:pPr>
      <w:r w:rsidRPr="00C11AAF">
        <w:rPr>
          <w:b/>
        </w:rPr>
        <w:t>Currency forward</w:t>
      </w:r>
    </w:p>
    <w:p w:rsidR="00FF6F6A" w:rsidRDefault="0023599A" w:rsidP="00FF6F6A">
      <w:pPr>
        <w:spacing w:after="0"/>
        <w:jc w:val="left"/>
      </w:pPr>
      <w:r>
        <w:t>An agreement between two counterparties to buy/sell a specified quantity of the underlying currency at a specified future date.  Contracts are settled in cash on the expiration date.</w:t>
      </w:r>
    </w:p>
    <w:p w:rsidR="00FF6F6A" w:rsidRDefault="00FF6F6A" w:rsidP="00FF6F6A">
      <w:pPr>
        <w:spacing w:after="0"/>
        <w:jc w:val="left"/>
      </w:pPr>
    </w:p>
    <w:p w:rsidR="00FF6F6A" w:rsidRPr="00721196" w:rsidRDefault="0023599A" w:rsidP="00FF6F6A">
      <w:pPr>
        <w:spacing w:after="0"/>
        <w:jc w:val="left"/>
        <w:rPr>
          <w:b/>
        </w:rPr>
      </w:pPr>
      <w:r w:rsidRPr="00721196">
        <w:rPr>
          <w:b/>
        </w:rPr>
        <w:t>Current assets and liabilities</w:t>
      </w:r>
    </w:p>
    <w:p w:rsidR="00FF6F6A" w:rsidRDefault="0023599A" w:rsidP="00FF6F6A">
      <w:pPr>
        <w:spacing w:after="0"/>
        <w:jc w:val="left"/>
      </w:pPr>
      <w:r>
        <w:t>Current assets are cash, cash equivalents and items that can be readily converted into cash.  Current liabilities are items that are due for payment immediately or in the short term.</w:t>
      </w:r>
    </w:p>
    <w:p w:rsidR="00FF6F6A" w:rsidRDefault="00FF6F6A" w:rsidP="00FF6F6A">
      <w:pPr>
        <w:spacing w:after="0"/>
        <w:jc w:val="left"/>
      </w:pPr>
    </w:p>
    <w:p w:rsidR="00FF6F6A" w:rsidRPr="00C11AAF" w:rsidRDefault="0023599A" w:rsidP="00FF6F6A">
      <w:pPr>
        <w:spacing w:after="0"/>
        <w:jc w:val="left"/>
        <w:rPr>
          <w:b/>
        </w:rPr>
      </w:pPr>
      <w:r w:rsidRPr="00C11AAF">
        <w:rPr>
          <w:b/>
        </w:rPr>
        <w:t>Custody /Custodian</w:t>
      </w:r>
    </w:p>
    <w:p w:rsidR="00FF6F6A" w:rsidRDefault="0023599A" w:rsidP="00FF6F6A">
      <w:pPr>
        <w:spacing w:after="0"/>
        <w:jc w:val="left"/>
      </w:pPr>
      <w:r>
        <w:t>Safekeeping of securities by a financial institution.  The custodian keeps a register of holdings and will collect income and distribute monies according to client instructions.</w:t>
      </w:r>
    </w:p>
    <w:p w:rsidR="00FF6F6A" w:rsidRDefault="00FF6F6A" w:rsidP="00FF6F6A">
      <w:pPr>
        <w:spacing w:after="0"/>
        <w:jc w:val="left"/>
      </w:pPr>
    </w:p>
    <w:p w:rsidR="00FF6F6A" w:rsidRPr="00721196" w:rsidRDefault="0023599A" w:rsidP="00FF6F6A">
      <w:pPr>
        <w:spacing w:after="0"/>
        <w:jc w:val="left"/>
        <w:rPr>
          <w:b/>
        </w:rPr>
      </w:pPr>
      <w:r w:rsidRPr="00721196">
        <w:rPr>
          <w:b/>
        </w:rPr>
        <w:t>Debtors</w:t>
      </w:r>
    </w:p>
    <w:p w:rsidR="00FF6F6A" w:rsidRDefault="0023599A" w:rsidP="00FF6F6A">
      <w:pPr>
        <w:spacing w:after="0"/>
        <w:jc w:val="left"/>
      </w:pPr>
      <w:r>
        <w:t>Amounts owed to the Pension Fund which had not been paid by the date of the net assets statement.</w:t>
      </w:r>
    </w:p>
    <w:p w:rsidR="00FF6F6A" w:rsidRDefault="00FF6F6A" w:rsidP="00FF6F6A">
      <w:pPr>
        <w:spacing w:after="0"/>
        <w:jc w:val="left"/>
      </w:pPr>
    </w:p>
    <w:p w:rsidR="00FF6F6A" w:rsidRDefault="0023599A" w:rsidP="00FF6F6A">
      <w:pPr>
        <w:spacing w:after="0"/>
        <w:jc w:val="left"/>
        <w:rPr>
          <w:b/>
        </w:rPr>
      </w:pPr>
      <w:r>
        <w:rPr>
          <w:b/>
        </w:rPr>
        <w:t>Deficit</w:t>
      </w:r>
    </w:p>
    <w:p w:rsidR="00FF6F6A" w:rsidRPr="00DB6C47" w:rsidRDefault="0023599A" w:rsidP="00FF6F6A">
      <w:pPr>
        <w:spacing w:after="0"/>
        <w:jc w:val="left"/>
      </w:pPr>
      <w:r>
        <w:t>The extent to which the Fund's past service liabilities exceed the value of the Fund's assets.</w:t>
      </w:r>
    </w:p>
    <w:p w:rsidR="00FF6F6A" w:rsidRDefault="00FF6F6A" w:rsidP="00FF6F6A">
      <w:pPr>
        <w:spacing w:after="0"/>
        <w:jc w:val="left"/>
      </w:pPr>
    </w:p>
    <w:p w:rsidR="00FF6F6A" w:rsidRPr="009527C1" w:rsidRDefault="0023599A" w:rsidP="00FF6F6A">
      <w:pPr>
        <w:spacing w:after="0"/>
        <w:jc w:val="left"/>
        <w:rPr>
          <w:b/>
        </w:rPr>
      </w:pPr>
      <w:r w:rsidRPr="009527C1">
        <w:rPr>
          <w:b/>
        </w:rPr>
        <w:t xml:space="preserve">Defined </w:t>
      </w:r>
      <w:r>
        <w:rPr>
          <w:b/>
        </w:rPr>
        <w:t>benefit</w:t>
      </w:r>
    </w:p>
    <w:p w:rsidR="00FF6F6A" w:rsidRDefault="0023599A" w:rsidP="00FF6F6A">
      <w:pPr>
        <w:spacing w:after="0"/>
        <w:jc w:val="left"/>
      </w:pPr>
      <w:r>
        <w:t>An employer sponsored retirement plan where employee benefits are sorted out based on a formula using factors such as salary history and duration of employment.  Public sector pension schemes, including the LGPS are defined benefit.</w:t>
      </w:r>
    </w:p>
    <w:p w:rsidR="00FF6F6A" w:rsidRDefault="00FF6F6A" w:rsidP="00FF6F6A">
      <w:pPr>
        <w:spacing w:after="0"/>
        <w:jc w:val="left"/>
      </w:pPr>
    </w:p>
    <w:p w:rsidR="00FF6F6A" w:rsidRDefault="0023599A" w:rsidP="00FF6F6A">
      <w:pPr>
        <w:spacing w:after="0"/>
        <w:jc w:val="left"/>
        <w:rPr>
          <w:b/>
        </w:rPr>
      </w:pPr>
      <w:r>
        <w:rPr>
          <w:b/>
        </w:rPr>
        <w:t>Discount rate</w:t>
      </w:r>
    </w:p>
    <w:p w:rsidR="00FF6F6A" w:rsidRPr="00DB6C47" w:rsidRDefault="0023599A" w:rsidP="00FF6F6A">
      <w:pPr>
        <w:spacing w:after="0"/>
        <w:jc w:val="left"/>
      </w:pPr>
      <w:r>
        <w:t>The rate of interest used to convert a future cash amount to a present day value.  It is a measure of the 'time value' of money.</w:t>
      </w:r>
    </w:p>
    <w:p w:rsidR="00FF6F6A" w:rsidRDefault="00FF6F6A" w:rsidP="00FF6F6A">
      <w:pPr>
        <w:spacing w:after="0"/>
        <w:jc w:val="left"/>
      </w:pPr>
    </w:p>
    <w:p w:rsidR="00FF6F6A" w:rsidRDefault="0023599A" w:rsidP="00FF6F6A">
      <w:pPr>
        <w:spacing w:after="0"/>
        <w:jc w:val="left"/>
        <w:rPr>
          <w:b/>
        </w:rPr>
      </w:pPr>
      <w:r w:rsidRPr="00BF2C83">
        <w:rPr>
          <w:b/>
        </w:rPr>
        <w:t>Emerging markets</w:t>
      </w:r>
    </w:p>
    <w:p w:rsidR="00FF6F6A" w:rsidRDefault="0023599A" w:rsidP="00FF6F6A">
      <w:pPr>
        <w:spacing w:after="0"/>
        <w:jc w:val="left"/>
      </w:pPr>
      <w:r w:rsidRPr="00BF2C83">
        <w:t xml:space="preserve">Developing economies </w:t>
      </w:r>
      <w:r>
        <w:t>in Latin America, Africa, Asia and the Middle East as well as areas of Europe and the Far East.  Investment returns within these markets tend to be more volatile than those in more established markets.</w:t>
      </w:r>
    </w:p>
    <w:p w:rsidR="00FF6F6A" w:rsidRDefault="00FF6F6A" w:rsidP="00FF6F6A">
      <w:pPr>
        <w:spacing w:after="0"/>
        <w:jc w:val="left"/>
      </w:pPr>
    </w:p>
    <w:p w:rsidR="00FF6F6A" w:rsidRPr="00BF2C83" w:rsidRDefault="0023599A" w:rsidP="00FF6F6A">
      <w:pPr>
        <w:spacing w:after="0"/>
        <w:jc w:val="left"/>
        <w:rPr>
          <w:b/>
        </w:rPr>
      </w:pPr>
      <w:r w:rsidRPr="00BF2C83">
        <w:rPr>
          <w:b/>
        </w:rPr>
        <w:t>Equities</w:t>
      </w:r>
    </w:p>
    <w:p w:rsidR="00FF6F6A" w:rsidRDefault="0023599A" w:rsidP="00FF6F6A">
      <w:pPr>
        <w:spacing w:after="0"/>
        <w:jc w:val="left"/>
      </w:pPr>
      <w:r>
        <w:t xml:space="preserve">Ordinary shares in UK and overseas companies traded on a stock exchange.  Shareholders have an interest in the profits of the company and are entitled to vote at shareholders' meetings. </w:t>
      </w:r>
    </w:p>
    <w:p w:rsidR="00FF6F6A" w:rsidRDefault="00FF6F6A" w:rsidP="00FF6F6A">
      <w:pPr>
        <w:spacing w:after="0"/>
        <w:jc w:val="left"/>
      </w:pPr>
    </w:p>
    <w:p w:rsidR="00FF6F6A" w:rsidRPr="00D80B7F" w:rsidRDefault="0023599A" w:rsidP="00FF6F6A">
      <w:pPr>
        <w:spacing w:after="0"/>
        <w:jc w:val="left"/>
        <w:rPr>
          <w:b/>
        </w:rPr>
      </w:pPr>
      <w:r w:rsidRPr="00D80B7F">
        <w:rPr>
          <w:b/>
        </w:rPr>
        <w:t>ESG (environmental, social and corporate governance)</w:t>
      </w:r>
    </w:p>
    <w:p w:rsidR="00FF6F6A" w:rsidRPr="00CE0433" w:rsidRDefault="0023599A" w:rsidP="00FF6F6A">
      <w:pPr>
        <w:spacing w:after="0"/>
        <w:jc w:val="left"/>
        <w:rPr>
          <w:rFonts w:cs="Arial"/>
        </w:rPr>
      </w:pPr>
      <w:r w:rsidRPr="00CE0433">
        <w:rPr>
          <w:rFonts w:cs="Arial"/>
        </w:rPr>
        <w:t>Responsible Investors understand that ESG characteristics are financially material to investment decision-making if they are likely to have an impact on a company and its performance within the period of their ownership.  Long term investors such as pension funds which aim to hold assets for an extended period of time need to assess the impact of a variety of potential influences, some of which are systemic risks which are not possible to predict with certainty (such as climate change).</w:t>
      </w:r>
    </w:p>
    <w:p w:rsidR="00FF6F6A" w:rsidRPr="00CE0433" w:rsidRDefault="00FF6F6A" w:rsidP="00FF6F6A">
      <w:pPr>
        <w:spacing w:after="0"/>
        <w:jc w:val="left"/>
        <w:rPr>
          <w:rFonts w:cs="Arial"/>
        </w:rPr>
      </w:pPr>
    </w:p>
    <w:p w:rsidR="00FF6F6A" w:rsidRDefault="0023599A" w:rsidP="00FF6F6A">
      <w:pPr>
        <w:spacing w:after="0"/>
        <w:jc w:val="left"/>
        <w:rPr>
          <w:rFonts w:cs="Arial"/>
        </w:rPr>
      </w:pPr>
      <w:r w:rsidRPr="00CE0433">
        <w:rPr>
          <w:rFonts w:cs="Arial"/>
        </w:rPr>
        <w:t xml:space="preserve">Investors who integrate the consideration of </w:t>
      </w:r>
      <w:r w:rsidR="005B1DC3">
        <w:rPr>
          <w:rFonts w:cs="Arial"/>
        </w:rPr>
        <w:t>ESG</w:t>
      </w:r>
      <w:r w:rsidR="00DF4FFD" w:rsidRPr="00CE0433">
        <w:rPr>
          <w:rFonts w:cs="Arial"/>
        </w:rPr>
        <w:t xml:space="preserve"> </w:t>
      </w:r>
      <w:r w:rsidRPr="00CE0433">
        <w:rPr>
          <w:rFonts w:cs="Arial"/>
        </w:rPr>
        <w:t>characteristics are seeking insight into future risks and opportunities which may be financially material to the investments they are already holding or those that are under consideration.</w:t>
      </w:r>
    </w:p>
    <w:p w:rsidR="00FF6F6A" w:rsidRDefault="0023599A" w:rsidP="00FF6F6A">
      <w:pPr>
        <w:spacing w:after="0"/>
        <w:jc w:val="left"/>
        <w:rPr>
          <w:rFonts w:cs="Arial"/>
        </w:rPr>
      </w:pPr>
      <w:r w:rsidRPr="00CE0433">
        <w:rPr>
          <w:rFonts w:cs="Arial"/>
        </w:rPr>
        <w:t xml:space="preserve"> Environmental criteria look at how a company performs as a steward of the natural environment both as a consumer of resources and a producer of goods, services and waste.  </w:t>
      </w:r>
    </w:p>
    <w:p w:rsidR="00FF6F6A" w:rsidRDefault="0023599A" w:rsidP="00FF6F6A">
      <w:pPr>
        <w:spacing w:after="0"/>
        <w:jc w:val="left"/>
        <w:rPr>
          <w:rFonts w:cs="Arial"/>
        </w:rPr>
      </w:pPr>
      <w:r w:rsidRPr="00CE0433">
        <w:rPr>
          <w:rFonts w:cs="Arial"/>
        </w:rPr>
        <w:t xml:space="preserve">Social criteria examine how a company manages relationships with its employees, suppliers, customers and the communities where it operates.  </w:t>
      </w:r>
    </w:p>
    <w:p w:rsidR="00FF6F6A" w:rsidRPr="00CE0433" w:rsidRDefault="0023599A" w:rsidP="00FF6F6A">
      <w:pPr>
        <w:spacing w:after="0"/>
        <w:jc w:val="left"/>
        <w:rPr>
          <w:rFonts w:cs="Arial"/>
        </w:rPr>
      </w:pPr>
      <w:r w:rsidRPr="00CE0433">
        <w:rPr>
          <w:rFonts w:cs="Arial"/>
        </w:rPr>
        <w:t>Governance criteria examine a company's management and decision-making framework, the corporate culture this creates and the quality of corporate leadership offered.</w:t>
      </w:r>
    </w:p>
    <w:p w:rsidR="00FF6F6A" w:rsidRPr="00CE0433" w:rsidRDefault="0023599A" w:rsidP="00FF6F6A">
      <w:pPr>
        <w:spacing w:after="0"/>
        <w:jc w:val="left"/>
        <w:rPr>
          <w:rFonts w:cs="Arial"/>
        </w:rPr>
      </w:pPr>
      <w:r w:rsidRPr="00CE0433">
        <w:rPr>
          <w:rFonts w:cs="Arial"/>
        </w:rPr>
        <w:t>ESG is often used as a catch-all term for the approach to assessing these various criteria as part of being an informed and responsible investor.</w:t>
      </w:r>
    </w:p>
    <w:p w:rsidR="00FF6F6A" w:rsidRDefault="00FF6F6A" w:rsidP="00FF6F6A">
      <w:pPr>
        <w:spacing w:after="0"/>
        <w:jc w:val="left"/>
      </w:pPr>
    </w:p>
    <w:p w:rsidR="00FF6F6A" w:rsidRPr="00643B35" w:rsidRDefault="0023599A" w:rsidP="00FF6F6A">
      <w:pPr>
        <w:spacing w:after="0"/>
        <w:jc w:val="left"/>
        <w:rPr>
          <w:b/>
        </w:rPr>
      </w:pPr>
      <w:r w:rsidRPr="00643B35">
        <w:rPr>
          <w:b/>
        </w:rPr>
        <w:t>Financial instrument</w:t>
      </w:r>
    </w:p>
    <w:p w:rsidR="00FF6F6A" w:rsidRDefault="0023599A" w:rsidP="00FF6F6A">
      <w:pPr>
        <w:spacing w:after="0"/>
        <w:jc w:val="left"/>
      </w:pPr>
      <w:r>
        <w:t>A contract between two parties that involves a monetary exchange for some type of debt or asset.</w:t>
      </w:r>
    </w:p>
    <w:p w:rsidR="00FF6F6A" w:rsidRDefault="00FF6F6A" w:rsidP="00FF6F6A">
      <w:pPr>
        <w:spacing w:after="0"/>
        <w:jc w:val="left"/>
      </w:pPr>
    </w:p>
    <w:p w:rsidR="00FF6F6A" w:rsidRPr="00643B35" w:rsidRDefault="0023599A" w:rsidP="00FF6F6A">
      <w:pPr>
        <w:spacing w:after="0"/>
        <w:jc w:val="left"/>
        <w:rPr>
          <w:b/>
        </w:rPr>
      </w:pPr>
      <w:r w:rsidRPr="00643B35">
        <w:rPr>
          <w:b/>
        </w:rPr>
        <w:t xml:space="preserve">Fixed interest </w:t>
      </w:r>
      <w:r>
        <w:rPr>
          <w:b/>
        </w:rPr>
        <w:t>securities</w:t>
      </w:r>
    </w:p>
    <w:p w:rsidR="00FF6F6A" w:rsidRDefault="0023599A" w:rsidP="00FF6F6A">
      <w:pPr>
        <w:spacing w:after="0"/>
        <w:jc w:val="left"/>
      </w:pPr>
      <w:r>
        <w:t>Investments in stocks mainly issued by governments, which guarantee a fixed rate of interest.</w:t>
      </w:r>
    </w:p>
    <w:p w:rsidR="00FF6F6A" w:rsidRDefault="00FF6F6A" w:rsidP="00FF6F6A">
      <w:pPr>
        <w:spacing w:after="0"/>
        <w:jc w:val="left"/>
      </w:pPr>
    </w:p>
    <w:p w:rsidR="00FF6F6A" w:rsidRDefault="0023599A" w:rsidP="00FF6F6A">
      <w:pPr>
        <w:spacing w:after="0"/>
        <w:jc w:val="left"/>
        <w:rPr>
          <w:b/>
        </w:rPr>
      </w:pPr>
      <w:r>
        <w:rPr>
          <w:b/>
        </w:rPr>
        <w:t>Future service contribution rate</w:t>
      </w:r>
    </w:p>
    <w:p w:rsidR="00FF6F6A" w:rsidRPr="00DB6C47" w:rsidRDefault="0023599A" w:rsidP="00FF6F6A">
      <w:pPr>
        <w:spacing w:after="0"/>
        <w:jc w:val="left"/>
      </w:pPr>
      <w:r>
        <w:t>The contribution rate payable by an employer, expressed as a % of pensionable pay.  This rate is the rate which will be sufficient to meet the costs of new benefits being accrued by active members in the future.</w:t>
      </w:r>
    </w:p>
    <w:p w:rsidR="00FF6F6A" w:rsidRDefault="00FF6F6A" w:rsidP="00FF6F6A">
      <w:pPr>
        <w:spacing w:after="0"/>
        <w:jc w:val="left"/>
      </w:pPr>
    </w:p>
    <w:p w:rsidR="00FF6F6A" w:rsidRPr="00643B35" w:rsidRDefault="0023599A" w:rsidP="00FF6F6A">
      <w:pPr>
        <w:spacing w:after="0"/>
        <w:jc w:val="left"/>
        <w:rPr>
          <w:b/>
        </w:rPr>
      </w:pPr>
      <w:r w:rsidRPr="00643B35">
        <w:rPr>
          <w:b/>
        </w:rPr>
        <w:t>Funding level</w:t>
      </w:r>
    </w:p>
    <w:p w:rsidR="00FF6F6A" w:rsidRDefault="0023599A" w:rsidP="00FF6F6A">
      <w:pPr>
        <w:spacing w:after="0"/>
        <w:jc w:val="left"/>
      </w:pPr>
      <w:r>
        <w:t>The ratio of a Pension scheme's assets to its liabilities.  Used as a measure of the scheme's ability to meet its future liabilities.</w:t>
      </w:r>
    </w:p>
    <w:p w:rsidR="00FF6F6A" w:rsidRDefault="00FF6F6A" w:rsidP="00FF6F6A">
      <w:pPr>
        <w:spacing w:after="0"/>
        <w:jc w:val="left"/>
      </w:pPr>
    </w:p>
    <w:p w:rsidR="00FF6F6A" w:rsidRPr="00FA4A25" w:rsidRDefault="0023599A" w:rsidP="00FF6F6A">
      <w:pPr>
        <w:spacing w:after="0"/>
        <w:jc w:val="left"/>
        <w:rPr>
          <w:b/>
        </w:rPr>
      </w:pPr>
      <w:r w:rsidRPr="00FA4A25">
        <w:rPr>
          <w:b/>
        </w:rPr>
        <w:t>Index-linked securities</w:t>
      </w:r>
    </w:p>
    <w:p w:rsidR="00FF6F6A" w:rsidRDefault="0023599A" w:rsidP="00FF6F6A">
      <w:pPr>
        <w:spacing w:after="0"/>
        <w:jc w:val="left"/>
      </w:pPr>
      <w:r>
        <w:t>Investments in stock where the interest payments and the final redemption proceeds are linked to the retail price index.  Such stocks provide protection against inflation.</w:t>
      </w:r>
    </w:p>
    <w:p w:rsidR="00FF6F6A" w:rsidRDefault="00FF6F6A" w:rsidP="00FF6F6A">
      <w:pPr>
        <w:spacing w:after="0"/>
        <w:jc w:val="left"/>
      </w:pPr>
    </w:p>
    <w:p w:rsidR="00FF6F6A" w:rsidRPr="00B90E8E" w:rsidRDefault="0023599A" w:rsidP="00FF6F6A">
      <w:pPr>
        <w:spacing w:after="0"/>
        <w:jc w:val="left"/>
        <w:rPr>
          <w:b/>
        </w:rPr>
      </w:pPr>
      <w:r w:rsidRPr="00B90E8E">
        <w:rPr>
          <w:b/>
        </w:rPr>
        <w:t>Infrastructure</w:t>
      </w:r>
    </w:p>
    <w:p w:rsidR="00FF6F6A" w:rsidRDefault="0023599A" w:rsidP="00FF6F6A">
      <w:pPr>
        <w:spacing w:after="0"/>
        <w:jc w:val="left"/>
      </w:pPr>
      <w:r>
        <w:t>The public facilities and services needed to support residential development, including highways, bridges, schools and sewer and water systems.  A term usually associated with investment in transport, power and utilities projects.</w:t>
      </w:r>
    </w:p>
    <w:p w:rsidR="00FF6F6A" w:rsidRDefault="00FF6F6A" w:rsidP="00FF6F6A">
      <w:pPr>
        <w:spacing w:after="0"/>
        <w:jc w:val="left"/>
      </w:pPr>
    </w:p>
    <w:p w:rsidR="00FF6F6A" w:rsidRPr="00B90E8E" w:rsidRDefault="0023599A" w:rsidP="00FF6F6A">
      <w:pPr>
        <w:spacing w:after="0"/>
        <w:jc w:val="left"/>
        <w:rPr>
          <w:b/>
        </w:rPr>
      </w:pPr>
      <w:r w:rsidRPr="00B90E8E">
        <w:rPr>
          <w:b/>
        </w:rPr>
        <w:t>Investment management expenses</w:t>
      </w:r>
    </w:p>
    <w:p w:rsidR="00FF6F6A" w:rsidRDefault="0023599A" w:rsidP="00FF6F6A">
      <w:pPr>
        <w:spacing w:after="0"/>
        <w:jc w:val="left"/>
      </w:pPr>
      <w:r>
        <w:t>All expenses relating to managing the Fund's investments.</w:t>
      </w:r>
    </w:p>
    <w:p w:rsidR="00FF6F6A" w:rsidRDefault="00FF6F6A" w:rsidP="00FF6F6A">
      <w:pPr>
        <w:spacing w:after="0"/>
        <w:jc w:val="left"/>
      </w:pPr>
    </w:p>
    <w:p w:rsidR="00FF6F6A" w:rsidRDefault="00FF6F6A" w:rsidP="00FF6F6A">
      <w:pPr>
        <w:spacing w:after="0"/>
        <w:jc w:val="left"/>
        <w:rPr>
          <w:b/>
        </w:rPr>
      </w:pPr>
    </w:p>
    <w:p w:rsidR="00FF6F6A" w:rsidRDefault="00FF6F6A" w:rsidP="00FF6F6A">
      <w:pPr>
        <w:spacing w:after="0"/>
        <w:jc w:val="left"/>
        <w:rPr>
          <w:b/>
        </w:rPr>
      </w:pPr>
    </w:p>
    <w:p w:rsidR="00FF6F6A" w:rsidRPr="00B90E8E" w:rsidRDefault="0023599A" w:rsidP="00FF6F6A">
      <w:pPr>
        <w:spacing w:after="0"/>
        <w:jc w:val="left"/>
        <w:rPr>
          <w:b/>
        </w:rPr>
      </w:pPr>
      <w:r w:rsidRPr="00B90E8E">
        <w:rPr>
          <w:b/>
        </w:rPr>
        <w:t>Investment strategy</w:t>
      </w:r>
    </w:p>
    <w:p w:rsidR="00FF6F6A" w:rsidRDefault="0023599A" w:rsidP="00FF6F6A">
      <w:pPr>
        <w:spacing w:after="0"/>
        <w:jc w:val="left"/>
      </w:pPr>
      <w:r>
        <w:t>Investor's long-term distribution of assets among various asset classes taking into consideration, goals of the Fund, attitude to risk and timescale.</w:t>
      </w:r>
    </w:p>
    <w:p w:rsidR="00FF6F6A" w:rsidRDefault="00FF6F6A" w:rsidP="00FF6F6A">
      <w:pPr>
        <w:spacing w:after="0"/>
        <w:jc w:val="left"/>
      </w:pPr>
    </w:p>
    <w:p w:rsidR="00FF6F6A" w:rsidRPr="00F30512" w:rsidRDefault="0023599A" w:rsidP="00FF6F6A">
      <w:pPr>
        <w:spacing w:after="0"/>
        <w:jc w:val="left"/>
        <w:rPr>
          <w:b/>
        </w:rPr>
      </w:pPr>
      <w:r w:rsidRPr="00F30512">
        <w:rPr>
          <w:b/>
        </w:rPr>
        <w:t>Liabilities</w:t>
      </w:r>
    </w:p>
    <w:p w:rsidR="00FF6F6A" w:rsidRDefault="0023599A" w:rsidP="00FF6F6A">
      <w:pPr>
        <w:spacing w:after="0"/>
        <w:jc w:val="left"/>
      </w:pPr>
      <w:r>
        <w:t>Financial liabilities are debts owed to creditors for outstanding payments due to be paid.  Pension liabilities are the pension benefits and payments that are due to be paid when someone retires.</w:t>
      </w:r>
    </w:p>
    <w:p w:rsidR="00FF6F6A" w:rsidRDefault="00FF6F6A" w:rsidP="00FF6F6A">
      <w:pPr>
        <w:spacing w:after="0"/>
        <w:jc w:val="left"/>
      </w:pPr>
    </w:p>
    <w:p w:rsidR="00FF6F6A" w:rsidRPr="00487E47" w:rsidRDefault="0023599A" w:rsidP="00FF6F6A">
      <w:pPr>
        <w:spacing w:after="0"/>
        <w:jc w:val="left"/>
        <w:rPr>
          <w:b/>
        </w:rPr>
      </w:pPr>
      <w:r w:rsidRPr="00487E47">
        <w:rPr>
          <w:b/>
        </w:rPr>
        <w:t>LPP – Local pensions partnership</w:t>
      </w:r>
    </w:p>
    <w:p w:rsidR="00FF6F6A" w:rsidRDefault="0023599A" w:rsidP="00FF6F6A">
      <w:pPr>
        <w:shd w:val="clear" w:color="auto" w:fill="FFFFFF"/>
        <w:autoSpaceDE/>
        <w:autoSpaceDN/>
        <w:adjustRightInd/>
        <w:spacing w:after="0"/>
        <w:jc w:val="left"/>
      </w:pPr>
      <w:r w:rsidRPr="00487E47">
        <w:t>The Local Pensions Partnership (LPP) is a collaboration between two successful LGPS funds – Lancashire County Pension Fund and</w:t>
      </w:r>
      <w:r>
        <w:t xml:space="preserve"> London Pensions Fund Authority,</w:t>
      </w:r>
      <w:r w:rsidRPr="00487E47">
        <w:t xml:space="preserve"> with the goals of creating:</w:t>
      </w:r>
    </w:p>
    <w:p w:rsidR="00FF6F6A" w:rsidRDefault="0023599A" w:rsidP="00F91786">
      <w:pPr>
        <w:pStyle w:val="ListParagraph"/>
        <w:numPr>
          <w:ilvl w:val="0"/>
          <w:numId w:val="26"/>
        </w:numPr>
        <w:shd w:val="clear" w:color="auto" w:fill="FFFFFF"/>
        <w:autoSpaceDE/>
        <w:autoSpaceDN/>
        <w:adjustRightInd/>
        <w:spacing w:after="0"/>
        <w:jc w:val="left"/>
      </w:pPr>
      <w:r w:rsidRPr="00487E47">
        <w:t>A best-in-class, end-to-end pensions services organisation for public sector funds; LPP currently provide pensions administration services to 13 funds, including LGPS, fire and police schemes.</w:t>
      </w:r>
    </w:p>
    <w:p w:rsidR="00FF6F6A" w:rsidRPr="00487E47" w:rsidRDefault="0023599A" w:rsidP="00F91786">
      <w:pPr>
        <w:pStyle w:val="ListParagraph"/>
        <w:numPr>
          <w:ilvl w:val="0"/>
          <w:numId w:val="25"/>
        </w:numPr>
        <w:shd w:val="clear" w:color="auto" w:fill="FFFFFF"/>
        <w:autoSpaceDE/>
        <w:autoSpaceDN/>
        <w:adjustRightInd/>
        <w:spacing w:before="100" w:beforeAutospacing="1" w:after="100" w:afterAutospacing="1"/>
        <w:jc w:val="left"/>
      </w:pPr>
      <w:r w:rsidRPr="00487E47">
        <w:t>An FCA-regulated structure for asset pooling.</w:t>
      </w:r>
    </w:p>
    <w:p w:rsidR="00FF6F6A" w:rsidRPr="00487E47" w:rsidRDefault="0023599A" w:rsidP="00F91786">
      <w:pPr>
        <w:numPr>
          <w:ilvl w:val="0"/>
          <w:numId w:val="25"/>
        </w:numPr>
        <w:shd w:val="clear" w:color="auto" w:fill="FFFFFF"/>
        <w:autoSpaceDE/>
        <w:autoSpaceDN/>
        <w:adjustRightInd/>
        <w:spacing w:before="100" w:beforeAutospacing="1" w:after="100" w:afterAutospacing="1"/>
        <w:jc w:val="left"/>
      </w:pPr>
      <w:r w:rsidRPr="00487E47">
        <w:t>An organisation focused on managing assets and liabilities (risk) together in order to improve long-term fund performance, stabilise contributions and reduce deficits.</w:t>
      </w:r>
    </w:p>
    <w:p w:rsidR="00FF6F6A" w:rsidRDefault="0023599A" w:rsidP="00F91786">
      <w:pPr>
        <w:numPr>
          <w:ilvl w:val="0"/>
          <w:numId w:val="25"/>
        </w:numPr>
        <w:shd w:val="clear" w:color="auto" w:fill="FFFFFF"/>
        <w:autoSpaceDE/>
        <w:autoSpaceDN/>
        <w:adjustRightInd/>
        <w:spacing w:before="100" w:beforeAutospacing="1" w:after="0" w:afterAutospacing="1"/>
        <w:jc w:val="left"/>
      </w:pPr>
      <w:r w:rsidRPr="00487E47">
        <w:t>A partnership which is open to other LGPS and public sector funds to join as owner shareholders or as investors only in LPP’s pool.</w:t>
      </w:r>
    </w:p>
    <w:p w:rsidR="00FF6F6A" w:rsidRPr="00F30512" w:rsidRDefault="0023599A" w:rsidP="00FF6F6A">
      <w:pPr>
        <w:spacing w:after="0"/>
        <w:jc w:val="left"/>
        <w:rPr>
          <w:b/>
        </w:rPr>
      </w:pPr>
      <w:r w:rsidRPr="00F30512">
        <w:rPr>
          <w:b/>
        </w:rPr>
        <w:t>Market value</w:t>
      </w:r>
    </w:p>
    <w:p w:rsidR="00FF6F6A" w:rsidRDefault="0023599A" w:rsidP="00FF6F6A">
      <w:pPr>
        <w:spacing w:after="0"/>
        <w:jc w:val="left"/>
      </w:pPr>
      <w:r>
        <w:t>The price at which an investment can be bought or sold at a given date.</w:t>
      </w:r>
    </w:p>
    <w:p w:rsidR="00FF6F6A" w:rsidRDefault="00FF6F6A" w:rsidP="00FF6F6A">
      <w:pPr>
        <w:spacing w:after="0"/>
        <w:jc w:val="left"/>
      </w:pPr>
    </w:p>
    <w:p w:rsidR="00FF6F6A" w:rsidRPr="00823D14" w:rsidRDefault="0023599A" w:rsidP="00FF6F6A">
      <w:pPr>
        <w:spacing w:after="0"/>
        <w:jc w:val="left"/>
        <w:rPr>
          <w:b/>
        </w:rPr>
      </w:pPr>
      <w:r w:rsidRPr="00823D14">
        <w:rPr>
          <w:b/>
        </w:rPr>
        <w:t>Myners review</w:t>
      </w:r>
    </w:p>
    <w:p w:rsidR="00FF6F6A" w:rsidRDefault="0023599A" w:rsidP="00FF6F6A">
      <w:pPr>
        <w:spacing w:after="0"/>
        <w:jc w:val="left"/>
      </w:pPr>
      <w:r>
        <w:t>Review carried out by Paul Myners on behalf of the Chancellor of the UK government.  The review published in March 2001, investigated the challenges facing institutional investment decision making.</w:t>
      </w:r>
    </w:p>
    <w:p w:rsidR="00FF6F6A" w:rsidRDefault="00FF6F6A" w:rsidP="00FF6F6A">
      <w:pPr>
        <w:spacing w:after="0"/>
        <w:jc w:val="left"/>
      </w:pPr>
    </w:p>
    <w:p w:rsidR="00FF6F6A" w:rsidRPr="00C5138D" w:rsidRDefault="0023599A" w:rsidP="00FF6F6A">
      <w:pPr>
        <w:spacing w:after="0"/>
        <w:jc w:val="left"/>
        <w:rPr>
          <w:b/>
        </w:rPr>
      </w:pPr>
      <w:r>
        <w:rPr>
          <w:b/>
        </w:rPr>
        <w:t>Over the Counter (</w:t>
      </w:r>
      <w:r w:rsidRPr="00C5138D">
        <w:rPr>
          <w:b/>
        </w:rPr>
        <w:t>OTC</w:t>
      </w:r>
      <w:r>
        <w:rPr>
          <w:b/>
        </w:rPr>
        <w:t>)</w:t>
      </w:r>
    </w:p>
    <w:p w:rsidR="00FF6F6A" w:rsidRDefault="0023599A" w:rsidP="00FF6F6A">
      <w:pPr>
        <w:spacing w:after="0"/>
        <w:jc w:val="left"/>
      </w:pPr>
      <w:r>
        <w:t>A security traded in some context other than on a formal exchange.  The phrase "over the counter" can be used to refer to stocks that trade via a dealer network as opposed to on a centralised exchange.  It also refers to debt securities and other financial instruments such as derivatives, which are traded through a dealer network.</w:t>
      </w:r>
    </w:p>
    <w:p w:rsidR="00FF6F6A" w:rsidRDefault="00FF6F6A" w:rsidP="00FF6F6A">
      <w:pPr>
        <w:spacing w:after="0"/>
        <w:jc w:val="left"/>
      </w:pPr>
    </w:p>
    <w:p w:rsidR="00FF6F6A" w:rsidRDefault="0023599A" w:rsidP="00FF6F6A">
      <w:pPr>
        <w:spacing w:after="0"/>
        <w:jc w:val="left"/>
        <w:rPr>
          <w:b/>
        </w:rPr>
      </w:pPr>
      <w:r>
        <w:rPr>
          <w:b/>
        </w:rPr>
        <w:t>Past service liability</w:t>
      </w:r>
    </w:p>
    <w:p w:rsidR="00FF6F6A" w:rsidRDefault="0023599A" w:rsidP="00FF6F6A">
      <w:pPr>
        <w:spacing w:after="0"/>
        <w:jc w:val="left"/>
      </w:pPr>
      <w:r>
        <w:t>The value, in present day terms, of the benefits accrued by members up to the valuation date.  Calculated on the basis of a set of assumptions agreed between the administering authority and the actuary.</w:t>
      </w:r>
    </w:p>
    <w:p w:rsidR="00FF6F6A" w:rsidRDefault="00FF6F6A" w:rsidP="00FF6F6A">
      <w:pPr>
        <w:spacing w:after="0"/>
        <w:jc w:val="left"/>
      </w:pPr>
    </w:p>
    <w:p w:rsidR="00FF6F6A" w:rsidRDefault="0023599A" w:rsidP="00FF6F6A">
      <w:pPr>
        <w:spacing w:after="0"/>
        <w:jc w:val="left"/>
        <w:rPr>
          <w:b/>
        </w:rPr>
      </w:pPr>
      <w:r w:rsidRPr="00487E47">
        <w:rPr>
          <w:b/>
        </w:rPr>
        <w:t>Pension Board</w:t>
      </w:r>
      <w:r>
        <w:rPr>
          <w:b/>
        </w:rPr>
        <w:t>s</w:t>
      </w:r>
    </w:p>
    <w:p w:rsidR="00FF6F6A" w:rsidRPr="005E52EF" w:rsidRDefault="0023599A" w:rsidP="00FF6F6A">
      <w:pPr>
        <w:spacing w:after="252" w:line="300" w:lineRule="atLeast"/>
        <w:ind w:right="600"/>
        <w:jc w:val="left"/>
      </w:pPr>
      <w:r w:rsidRPr="005E52EF">
        <w:t xml:space="preserve">The role of each board is to help ensure each scheme complies with governance and administration requirements. They may have additional duties, if scheme or other regulations so specify. </w:t>
      </w:r>
    </w:p>
    <w:p w:rsidR="00FF6F6A" w:rsidRDefault="0023599A" w:rsidP="00FF6F6A">
      <w:pPr>
        <w:spacing w:after="0"/>
        <w:jc w:val="left"/>
      </w:pPr>
      <w:r w:rsidRPr="005E52EF">
        <w:t>Pension boards need to have an equal number of employer representatives and member representatives. They may also have other types of members, such as independent experts. All pension board members have a duty to act in accordance with scheme regulations and other governing documents.</w:t>
      </w:r>
    </w:p>
    <w:p w:rsidR="00FF6F6A" w:rsidRDefault="00FF6F6A" w:rsidP="00FF6F6A">
      <w:pPr>
        <w:spacing w:after="0"/>
        <w:jc w:val="left"/>
      </w:pPr>
    </w:p>
    <w:p w:rsidR="00FF6F6A" w:rsidRDefault="00FF6F6A" w:rsidP="00FF6F6A">
      <w:pPr>
        <w:spacing w:after="0"/>
        <w:jc w:val="left"/>
      </w:pPr>
    </w:p>
    <w:p w:rsidR="00FF6F6A" w:rsidRDefault="00FF6F6A" w:rsidP="00FF6F6A">
      <w:pPr>
        <w:spacing w:after="0"/>
        <w:jc w:val="left"/>
      </w:pPr>
    </w:p>
    <w:p w:rsidR="00FF6F6A" w:rsidRDefault="00FF6F6A" w:rsidP="00FF6F6A">
      <w:pPr>
        <w:spacing w:after="0"/>
        <w:jc w:val="left"/>
      </w:pPr>
    </w:p>
    <w:p w:rsidR="00FF6F6A" w:rsidRDefault="0023599A" w:rsidP="00FF6F6A">
      <w:pPr>
        <w:spacing w:after="0"/>
        <w:jc w:val="left"/>
        <w:rPr>
          <w:b/>
        </w:rPr>
      </w:pPr>
      <w:r>
        <w:rPr>
          <w:b/>
        </w:rPr>
        <w:t>Pooled investment vehicles</w:t>
      </w:r>
    </w:p>
    <w:p w:rsidR="00FF6F6A" w:rsidRPr="00943678" w:rsidRDefault="0023599A" w:rsidP="00FF6F6A">
      <w:pPr>
        <w:spacing w:after="0"/>
        <w:jc w:val="left"/>
      </w:pPr>
      <w:r>
        <w:t xml:space="preserve">Funds which manage the investments of more than one investor on a collective basis.  Each investor is allocated units which are revalued at regular intervals.  Income from these investments is normally returned to the pooled fund and increases the value of the units.    </w:t>
      </w:r>
    </w:p>
    <w:p w:rsidR="00FF6F6A" w:rsidRPr="00BF2C83" w:rsidRDefault="00FF6F6A" w:rsidP="00FF6F6A">
      <w:pPr>
        <w:spacing w:after="0"/>
        <w:jc w:val="left"/>
      </w:pPr>
    </w:p>
    <w:p w:rsidR="00FF6F6A" w:rsidRPr="00E46257" w:rsidRDefault="0023599A" w:rsidP="00FF6F6A">
      <w:pPr>
        <w:spacing w:after="0"/>
        <w:jc w:val="left"/>
        <w:rPr>
          <w:b/>
        </w:rPr>
      </w:pPr>
      <w:r w:rsidRPr="00E46257">
        <w:rPr>
          <w:b/>
        </w:rPr>
        <w:t>Private equity</w:t>
      </w:r>
    </w:p>
    <w:p w:rsidR="00FF6F6A" w:rsidRDefault="0023599A" w:rsidP="00FF6F6A">
      <w:pPr>
        <w:spacing w:after="0"/>
        <w:jc w:val="left"/>
      </w:pPr>
      <w:r>
        <w:t>Shares in un-quoted companies.</w:t>
      </w:r>
    </w:p>
    <w:p w:rsidR="00FF6F6A" w:rsidRDefault="00FF6F6A" w:rsidP="00FF6F6A">
      <w:pPr>
        <w:spacing w:after="0"/>
        <w:jc w:val="left"/>
      </w:pPr>
    </w:p>
    <w:p w:rsidR="00FF6F6A" w:rsidRPr="005C1254" w:rsidRDefault="0023599A" w:rsidP="00FF6F6A">
      <w:pPr>
        <w:spacing w:after="0"/>
        <w:jc w:val="left"/>
        <w:rPr>
          <w:b/>
        </w:rPr>
      </w:pPr>
      <w:r w:rsidRPr="005C1254">
        <w:rPr>
          <w:b/>
        </w:rPr>
        <w:t>Property</w:t>
      </w:r>
    </w:p>
    <w:p w:rsidR="00FF6F6A" w:rsidRDefault="0023599A" w:rsidP="00FF6F6A">
      <w:pPr>
        <w:spacing w:after="0"/>
        <w:jc w:val="left"/>
      </w:pPr>
      <w:r>
        <w:t>All buildings and land that the Fund owns, including pooled property funds.</w:t>
      </w:r>
    </w:p>
    <w:p w:rsidR="00FF6F6A" w:rsidRDefault="00FF6F6A" w:rsidP="00FF6F6A">
      <w:pPr>
        <w:spacing w:after="0"/>
        <w:jc w:val="left"/>
      </w:pPr>
    </w:p>
    <w:p w:rsidR="00FF6F6A" w:rsidRPr="005C1254" w:rsidRDefault="0023599A" w:rsidP="00FF6F6A">
      <w:pPr>
        <w:spacing w:after="0"/>
        <w:jc w:val="left"/>
        <w:rPr>
          <w:b/>
        </w:rPr>
      </w:pPr>
      <w:r w:rsidRPr="005C1254">
        <w:rPr>
          <w:b/>
        </w:rPr>
        <w:t>Related party</w:t>
      </w:r>
    </w:p>
    <w:p w:rsidR="00FF6F6A" w:rsidRDefault="0023599A" w:rsidP="00FF6F6A">
      <w:pPr>
        <w:spacing w:after="0"/>
        <w:jc w:val="left"/>
      </w:pPr>
      <w:r>
        <w:t>A person or organisation which has influence over another person or organisation.</w:t>
      </w:r>
    </w:p>
    <w:p w:rsidR="00FF6F6A" w:rsidRDefault="00FF6F6A" w:rsidP="00FF6F6A">
      <w:pPr>
        <w:spacing w:after="0"/>
        <w:jc w:val="left"/>
      </w:pPr>
    </w:p>
    <w:p w:rsidR="00FF6F6A" w:rsidRDefault="0023599A" w:rsidP="00FF6F6A">
      <w:pPr>
        <w:spacing w:after="0"/>
        <w:jc w:val="left"/>
        <w:rPr>
          <w:b/>
        </w:rPr>
      </w:pPr>
      <w:r>
        <w:rPr>
          <w:b/>
        </w:rPr>
        <w:t>R</w:t>
      </w:r>
      <w:r w:rsidRPr="005C1254">
        <w:rPr>
          <w:b/>
        </w:rPr>
        <w:t>esponsible investment</w:t>
      </w:r>
    </w:p>
    <w:p w:rsidR="00FF6F6A" w:rsidRPr="00CE0433" w:rsidRDefault="0023599A" w:rsidP="00FF6F6A">
      <w:pPr>
        <w:spacing w:after="0"/>
        <w:jc w:val="left"/>
        <w:rPr>
          <w:rFonts w:cs="Arial"/>
        </w:rPr>
      </w:pPr>
      <w:r w:rsidRPr="00CE0433">
        <w:rPr>
          <w:rFonts w:cs="Arial"/>
        </w:rPr>
        <w:t xml:space="preserve">An approach to investment which recognises that the consideration of environmental, social and governance factors forms an important part of the evaluation of the future risks and opportunities facing investee companies.  Responsible Investors seek to understand the influences that are likely to impact the performance of investments during their period of ownership in order to assess the balance of risks relative to returns. </w:t>
      </w:r>
    </w:p>
    <w:p w:rsidR="00FF6F6A" w:rsidRPr="00CE0433" w:rsidRDefault="00FF6F6A" w:rsidP="00FF6F6A">
      <w:pPr>
        <w:spacing w:after="0"/>
        <w:jc w:val="left"/>
        <w:rPr>
          <w:rFonts w:cs="Arial"/>
        </w:rPr>
      </w:pPr>
    </w:p>
    <w:p w:rsidR="00FF6F6A" w:rsidRPr="00CE0433" w:rsidRDefault="0023599A" w:rsidP="00FF6F6A">
      <w:pPr>
        <w:spacing w:after="0"/>
        <w:jc w:val="left"/>
        <w:rPr>
          <w:rFonts w:cs="Arial"/>
        </w:rPr>
      </w:pPr>
      <w:r w:rsidRPr="00CE0433">
        <w:rPr>
          <w:rFonts w:cs="Arial"/>
        </w:rPr>
        <w:t xml:space="preserve">Pension funds invest the retirement savings of scheme members in order to fund the benefits they are entitled to receive in the future. There is an underlying fiduciary duty to protect the financial interests of scheme beneficiaries which is exercised through the approach to investment and the evaluation of risks and opportunities as part of investment stewardship.  </w:t>
      </w:r>
    </w:p>
    <w:p w:rsidR="00FF6F6A" w:rsidRDefault="00FF6F6A" w:rsidP="00FF6F6A">
      <w:pPr>
        <w:spacing w:after="0"/>
        <w:jc w:val="left"/>
      </w:pPr>
    </w:p>
    <w:p w:rsidR="00FF6F6A" w:rsidRPr="000F1EB3" w:rsidRDefault="0023599A" w:rsidP="00FF6F6A">
      <w:pPr>
        <w:spacing w:after="0"/>
        <w:jc w:val="left"/>
        <w:rPr>
          <w:b/>
        </w:rPr>
      </w:pPr>
      <w:r w:rsidRPr="000F1EB3">
        <w:rPr>
          <w:b/>
        </w:rPr>
        <w:t>Stock lending</w:t>
      </w:r>
    </w:p>
    <w:p w:rsidR="00FF6F6A" w:rsidRDefault="0023599A" w:rsidP="00FF6F6A">
      <w:pPr>
        <w:spacing w:after="0"/>
        <w:jc w:val="left"/>
      </w:pPr>
      <w:r>
        <w:t>The act of loaning securities to another investor in return for a fee.  When a security is loaned the ownership is also transferred to the borrower.</w:t>
      </w:r>
    </w:p>
    <w:p w:rsidR="00FF6F6A" w:rsidRDefault="00FF6F6A" w:rsidP="00FF6F6A">
      <w:pPr>
        <w:spacing w:after="0"/>
        <w:jc w:val="left"/>
      </w:pPr>
    </w:p>
    <w:p w:rsidR="00FF6F6A" w:rsidRPr="000F1EB3" w:rsidRDefault="0023599A" w:rsidP="00FF6F6A">
      <w:pPr>
        <w:spacing w:after="0"/>
        <w:jc w:val="left"/>
        <w:rPr>
          <w:b/>
        </w:rPr>
      </w:pPr>
      <w:r w:rsidRPr="000F1EB3">
        <w:rPr>
          <w:b/>
        </w:rPr>
        <w:t>Transfer values</w:t>
      </w:r>
    </w:p>
    <w:p w:rsidR="00FF6F6A" w:rsidRDefault="0023599A" w:rsidP="00FF6F6A">
      <w:pPr>
        <w:spacing w:after="0"/>
        <w:jc w:val="left"/>
      </w:pPr>
      <w:r>
        <w:t>The value of a pension scheme members benefits available to buy benefits in another scheme.</w:t>
      </w:r>
    </w:p>
    <w:p w:rsidR="00FF6F6A" w:rsidRDefault="00FF6F6A" w:rsidP="00FF6F6A">
      <w:pPr>
        <w:spacing w:after="0"/>
        <w:jc w:val="left"/>
      </w:pPr>
    </w:p>
    <w:p w:rsidR="00FF6F6A" w:rsidRDefault="0023599A" w:rsidP="00FF6F6A">
      <w:pPr>
        <w:spacing w:after="0"/>
        <w:jc w:val="left"/>
        <w:rPr>
          <w:b/>
        </w:rPr>
      </w:pPr>
      <w:r w:rsidRPr="000F1EB3">
        <w:rPr>
          <w:b/>
        </w:rPr>
        <w:t xml:space="preserve">Triennial </w:t>
      </w:r>
      <w:r>
        <w:rPr>
          <w:b/>
        </w:rPr>
        <w:t xml:space="preserve">actuarial </w:t>
      </w:r>
      <w:r w:rsidRPr="000F1EB3">
        <w:rPr>
          <w:b/>
        </w:rPr>
        <w:t>valuation</w:t>
      </w:r>
    </w:p>
    <w:p w:rsidR="00FF6F6A" w:rsidRDefault="0023599A" w:rsidP="00FF6F6A">
      <w:pPr>
        <w:spacing w:after="0"/>
        <w:jc w:val="left"/>
      </w:pPr>
      <w:r w:rsidRPr="000F1EB3">
        <w:t>Every three years the actuary formally reviews the assets and liabilities of the Lancashire LGPS scheme and produces a report on the scheme's financial position.</w:t>
      </w:r>
    </w:p>
    <w:p w:rsidR="00FF6F6A" w:rsidRDefault="00FF6F6A" w:rsidP="00FF6F6A">
      <w:pPr>
        <w:spacing w:after="0"/>
        <w:jc w:val="left"/>
      </w:pPr>
    </w:p>
    <w:p w:rsidR="00FF6F6A" w:rsidRDefault="0023599A" w:rsidP="00FF6F6A">
      <w:pPr>
        <w:spacing w:after="0"/>
        <w:jc w:val="left"/>
        <w:rPr>
          <w:b/>
        </w:rPr>
      </w:pPr>
      <w:r w:rsidRPr="000F1EB3">
        <w:rPr>
          <w:b/>
        </w:rPr>
        <w:t>Venture capital</w:t>
      </w:r>
    </w:p>
    <w:p w:rsidR="00FF6F6A" w:rsidRDefault="0023599A" w:rsidP="00FF6F6A">
      <w:pPr>
        <w:spacing w:after="0"/>
        <w:jc w:val="left"/>
      </w:pPr>
      <w:r w:rsidRPr="000F1EB3">
        <w:t>Investment in a company that is at a relatively early stage of development and is not listed on a stock exchange.</w:t>
      </w:r>
    </w:p>
    <w:p w:rsidR="00FF6F6A" w:rsidRDefault="00FF6F6A" w:rsidP="00FF6F6A">
      <w:pPr>
        <w:spacing w:after="0"/>
        <w:jc w:val="left"/>
      </w:pPr>
    </w:p>
    <w:p w:rsidR="00FF6F6A" w:rsidRDefault="0023599A" w:rsidP="00FF6F6A">
      <w:pPr>
        <w:spacing w:after="0"/>
        <w:jc w:val="left"/>
        <w:rPr>
          <w:b/>
        </w:rPr>
      </w:pPr>
      <w:r>
        <w:rPr>
          <w:b/>
        </w:rPr>
        <w:t>50:50 scheme</w:t>
      </w:r>
    </w:p>
    <w:p w:rsidR="00FF6F6A" w:rsidRPr="00DB1835" w:rsidRDefault="0023599A" w:rsidP="00FF6F6A">
      <w:pPr>
        <w:spacing w:after="0"/>
        <w:jc w:val="left"/>
      </w:pPr>
      <w:r>
        <w:t>In the LGPS, active members are given an option to accrue a lower benefit in return for paying a lower level of contribution.</w:t>
      </w:r>
    </w:p>
    <w:p w:rsidR="00FF6F6A" w:rsidRPr="000F1EB3" w:rsidRDefault="00FF6F6A" w:rsidP="00FF6F6A">
      <w:pPr>
        <w:spacing w:after="0"/>
        <w:jc w:val="left"/>
      </w:pPr>
    </w:p>
    <w:p w:rsidR="00FF6F6A" w:rsidRDefault="00FF6F6A"/>
    <w:sectPr w:rsidR="00FF6F6A" w:rsidSect="00FF6F6A">
      <w:headerReference w:type="first" r:id="rId54"/>
      <w:pgSz w:w="11900" w:h="16840" w:code="9"/>
      <w:pgMar w:top="720" w:right="720" w:bottom="720" w:left="720" w:header="284" w:footer="284" w:gutter="0"/>
      <w:cols w:space="29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E8E" w:rsidRDefault="00143E8E">
      <w:pPr>
        <w:spacing w:after="0"/>
      </w:pPr>
      <w:r>
        <w:separator/>
      </w:r>
    </w:p>
  </w:endnote>
  <w:endnote w:type="continuationSeparator" w:id="0">
    <w:p w:rsidR="00143E8E" w:rsidRDefault="00143E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S Lola">
    <w:altName w:val="FS Lol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wiss 72 1 BT">
    <w:altName w:val="Swiss 72 1 B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841408"/>
      <w:docPartObj>
        <w:docPartGallery w:val="Page Numbers (Bottom of Page)"/>
        <w:docPartUnique/>
      </w:docPartObj>
    </w:sdtPr>
    <w:sdtEndPr>
      <w:rPr>
        <w:noProof/>
      </w:rPr>
    </w:sdtEndPr>
    <w:sdtContent>
      <w:p w:rsidR="003B509A" w:rsidRDefault="003B509A">
        <w:pPr>
          <w:pStyle w:val="Footer"/>
          <w:jc w:val="right"/>
        </w:pPr>
        <w:r>
          <w:fldChar w:fldCharType="begin"/>
        </w:r>
        <w:r>
          <w:instrText xml:space="preserve"> PAGE   \* MERGEFORMAT </w:instrText>
        </w:r>
        <w:r>
          <w:fldChar w:fldCharType="separate"/>
        </w:r>
        <w:r w:rsidR="001A4667">
          <w:rPr>
            <w:noProof/>
          </w:rPr>
          <w:t>15</w:t>
        </w:r>
        <w:r>
          <w:rPr>
            <w:noProof/>
          </w:rPr>
          <w:fldChar w:fldCharType="end"/>
        </w:r>
      </w:p>
    </w:sdtContent>
  </w:sdt>
  <w:p w:rsidR="003B509A" w:rsidRDefault="003B50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013654"/>
      <w:docPartObj>
        <w:docPartGallery w:val="Page Numbers (Bottom of Page)"/>
        <w:docPartUnique/>
      </w:docPartObj>
    </w:sdtPr>
    <w:sdtEndPr>
      <w:rPr>
        <w:noProof/>
      </w:rPr>
    </w:sdtEndPr>
    <w:sdtContent>
      <w:p w:rsidR="003B509A" w:rsidRDefault="003B509A" w:rsidP="00A33453">
        <w:pPr>
          <w:pStyle w:val="Footer"/>
          <w:jc w:val="right"/>
          <w:rPr>
            <w:noProof/>
          </w:rPr>
        </w:pPr>
        <w:r w:rsidRPr="009F3713">
          <w:fldChar w:fldCharType="begin"/>
        </w:r>
        <w:r w:rsidRPr="009F3713">
          <w:instrText xml:space="preserve"> PAGE   \* MERGEFORMAT </w:instrText>
        </w:r>
        <w:r w:rsidRPr="009F3713">
          <w:fldChar w:fldCharType="separate"/>
        </w:r>
        <w:r w:rsidR="001A4667">
          <w:rPr>
            <w:noProof/>
          </w:rPr>
          <w:t>20</w:t>
        </w:r>
        <w:r w:rsidRPr="009F3713">
          <w:rPr>
            <w:noProof/>
          </w:rPr>
          <w:fldChar w:fldCharType="end"/>
        </w:r>
      </w:p>
      <w:p w:rsidR="003B509A" w:rsidRPr="0054647A" w:rsidRDefault="001A4667" w:rsidP="00A33453">
        <w:pPr>
          <w:pStyle w:val="Footer"/>
          <w:rPr>
            <w:rFonts w:ascii="Corbel" w:hAnsi="Corbel"/>
            <w:color w:val="AEAAAA" w:themeColor="background2" w:themeShade="BF"/>
            <w:sz w:val="18"/>
            <w:szCs w:val="18"/>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Pr="001618F6" w:rsidRDefault="003B509A" w:rsidP="00A33453">
    <w:pPr>
      <w:pStyle w:val="Footer"/>
      <w:pBdr>
        <w:top w:val="single" w:sz="4" w:space="1" w:color="AEAAAA" w:themeColor="background2" w:themeShade="BF"/>
      </w:pBdr>
      <w:tabs>
        <w:tab w:val="left" w:pos="4153"/>
      </w:tabs>
      <w:rPr>
        <w:rFonts w:asciiTheme="minorHAnsi" w:hAnsiTheme="minorHAnsi"/>
        <w:color w:val="767171" w:themeColor="background2" w:themeShade="80"/>
      </w:rPr>
    </w:pPr>
    <w:r w:rsidRPr="001618F6">
      <w:rPr>
        <w:rFonts w:asciiTheme="minorHAnsi" w:hAnsiTheme="minorHAnsi"/>
        <w:color w:val="767171" w:themeColor="background2" w:themeShade="80"/>
      </w:rPr>
      <w:t xml:space="preserve">    </w:t>
    </w:r>
  </w:p>
  <w:p w:rsidR="003B509A" w:rsidRPr="001F612D" w:rsidRDefault="003B509A" w:rsidP="00A33453">
    <w:pPr>
      <w:jc w:val="right"/>
      <w:rPr>
        <w:sz w:val="20"/>
        <w:szCs w:val="20"/>
      </w:rPr>
    </w:pPr>
    <w:r w:rsidRPr="00706F5E">
      <w:rPr>
        <w:rFonts w:ascii="Corbel" w:hAnsi="Corbel"/>
        <w:color w:val="AEAAAA" w:themeColor="background2" w:themeShade="BF"/>
        <w:sz w:val="20"/>
        <w:szCs w:val="20"/>
      </w:rPr>
      <w:t xml:space="preserve">     </w:t>
    </w:r>
    <w:r w:rsidRPr="00706F5E">
      <w:rPr>
        <w:rFonts w:ascii="Corbel" w:hAnsi="Corbel"/>
        <w:color w:val="AEAAAA" w:themeColor="background2" w:themeShade="BF"/>
        <w:sz w:val="20"/>
        <w:szCs w:val="20"/>
      </w:rPr>
      <w:tab/>
      <w:t xml:space="preserve">           </w:t>
    </w:r>
    <w:r w:rsidRPr="00706F5E">
      <w:rPr>
        <w:rFonts w:ascii="Corbel" w:hAnsi="Corbel"/>
        <w:color w:val="AEAAAA" w:themeColor="background2" w:themeShade="BF"/>
        <w:sz w:val="20"/>
        <w:szCs w:val="20"/>
      </w:rPr>
      <w:tab/>
    </w:r>
    <w:sdt>
      <w:sdtPr>
        <w:rPr>
          <w:rFonts w:ascii="Corbel" w:hAnsi="Corbel"/>
          <w:color w:val="AEAAAA" w:themeColor="background2" w:themeShade="BF"/>
          <w:sz w:val="20"/>
          <w:szCs w:val="20"/>
        </w:rPr>
        <w:id w:val="1795793778"/>
        <w:docPartObj>
          <w:docPartGallery w:val="Page Numbers (Bottom of Page)"/>
          <w:docPartUnique/>
        </w:docPartObj>
      </w:sdtPr>
      <w:sdtEndPr>
        <w:rPr>
          <w:rFonts w:ascii="Arial" w:hAnsi="Arial" w:cs="Arial"/>
          <w:noProof/>
          <w:sz w:val="22"/>
          <w:szCs w:val="22"/>
        </w:rPr>
      </w:sdtEndPr>
      <w:sdtContent>
        <w:r w:rsidRPr="00706F5E">
          <w:rPr>
            <w:rFonts w:ascii="Corbel" w:hAnsi="Corbel"/>
            <w:color w:val="AEAAAA" w:themeColor="background2" w:themeShade="BF"/>
            <w:sz w:val="20"/>
            <w:szCs w:val="20"/>
          </w:rPr>
          <w:t xml:space="preserve">                                                  </w:t>
        </w:r>
        <w:r>
          <w:rPr>
            <w:rFonts w:ascii="Corbel" w:hAnsi="Corbel"/>
            <w:color w:val="AEAAAA" w:themeColor="background2" w:themeShade="BF"/>
            <w:sz w:val="20"/>
            <w:szCs w:val="20"/>
          </w:rPr>
          <w:t xml:space="preserve">                 </w:t>
        </w:r>
        <w:r w:rsidRPr="00706F5E">
          <w:rPr>
            <w:rFonts w:ascii="Corbel" w:hAnsi="Corbel"/>
            <w:color w:val="AEAAAA" w:themeColor="background2" w:themeShade="BF"/>
            <w:sz w:val="20"/>
            <w:szCs w:val="20"/>
          </w:rPr>
          <w:t xml:space="preserve">   </w:t>
        </w:r>
        <w:r w:rsidRPr="0061643F">
          <w:rPr>
            <w:rFonts w:cs="Arial"/>
            <w:color w:val="AEAAAA" w:themeColor="background2" w:themeShade="BF"/>
            <w:sz w:val="22"/>
            <w:szCs w:val="22"/>
          </w:rPr>
          <w:fldChar w:fldCharType="begin"/>
        </w:r>
        <w:r w:rsidRPr="0061643F">
          <w:rPr>
            <w:rFonts w:cs="Arial"/>
            <w:color w:val="AEAAAA" w:themeColor="background2" w:themeShade="BF"/>
            <w:sz w:val="22"/>
            <w:szCs w:val="22"/>
          </w:rPr>
          <w:instrText xml:space="preserve"> PAGE   \* MERGEFORMAT </w:instrText>
        </w:r>
        <w:r w:rsidRPr="0061643F">
          <w:rPr>
            <w:rFonts w:cs="Arial"/>
            <w:color w:val="AEAAAA" w:themeColor="background2" w:themeShade="BF"/>
            <w:sz w:val="22"/>
            <w:szCs w:val="22"/>
          </w:rPr>
          <w:fldChar w:fldCharType="separate"/>
        </w:r>
        <w:r w:rsidR="001A4667">
          <w:rPr>
            <w:rFonts w:cs="Arial"/>
            <w:noProof/>
            <w:color w:val="AEAAAA" w:themeColor="background2" w:themeShade="BF"/>
            <w:sz w:val="22"/>
            <w:szCs w:val="22"/>
          </w:rPr>
          <w:t>74</w:t>
        </w:r>
        <w:r w:rsidRPr="0061643F">
          <w:rPr>
            <w:rFonts w:cs="Arial"/>
            <w:noProof/>
            <w:color w:val="AEAAAA" w:themeColor="background2" w:themeShade="BF"/>
            <w:sz w:val="22"/>
            <w:szCs w:val="22"/>
          </w:rPr>
          <w:fldChar w:fldCharType="end"/>
        </w:r>
      </w:sdtContent>
    </w:sdt>
    <w:r w:rsidRPr="0061643F">
      <w:rPr>
        <w:rFonts w:cs="Arial"/>
        <w:sz w:val="22"/>
        <w:szCs w:val="22"/>
      </w:rPr>
      <w:t xml:space="preserve"> </w:t>
    </w:r>
    <w:r>
      <w:rPr>
        <w:rFonts w:asciiTheme="minorHAnsi" w:hAnsiTheme="minorHAnsi"/>
        <w:sz w:val="20"/>
        <w:szCs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60333"/>
      <w:docPartObj>
        <w:docPartGallery w:val="Page Numbers (Bottom of Page)"/>
        <w:docPartUnique/>
      </w:docPartObj>
    </w:sdtPr>
    <w:sdtEndPr>
      <w:rPr>
        <w:rFonts w:cs="Arial"/>
        <w:noProof/>
      </w:rPr>
    </w:sdtEndPr>
    <w:sdtContent>
      <w:p w:rsidR="003B509A" w:rsidRPr="00E344AA" w:rsidRDefault="003B509A">
        <w:pPr>
          <w:pStyle w:val="Footer"/>
          <w:jc w:val="right"/>
          <w:rPr>
            <w:rFonts w:cs="Arial"/>
          </w:rPr>
        </w:pPr>
        <w:r w:rsidRPr="00E344AA">
          <w:rPr>
            <w:rFonts w:cs="Arial"/>
          </w:rPr>
          <w:fldChar w:fldCharType="begin"/>
        </w:r>
        <w:r w:rsidRPr="00E344AA">
          <w:rPr>
            <w:rFonts w:cs="Arial"/>
          </w:rPr>
          <w:instrText xml:space="preserve"> PAGE   \* MERGEFORMAT </w:instrText>
        </w:r>
        <w:r w:rsidRPr="00E344AA">
          <w:rPr>
            <w:rFonts w:cs="Arial"/>
          </w:rPr>
          <w:fldChar w:fldCharType="separate"/>
        </w:r>
        <w:r w:rsidR="001A4667">
          <w:rPr>
            <w:rFonts w:cs="Arial"/>
            <w:noProof/>
          </w:rPr>
          <w:t>105</w:t>
        </w:r>
        <w:r w:rsidRPr="00E344AA">
          <w:rPr>
            <w:rFonts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E8E" w:rsidRDefault="00143E8E">
      <w:pPr>
        <w:spacing w:after="0"/>
      </w:pPr>
      <w:r>
        <w:separator/>
      </w:r>
    </w:p>
  </w:footnote>
  <w:footnote w:type="continuationSeparator" w:id="0">
    <w:p w:rsidR="00143E8E" w:rsidRDefault="00143E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Pr="00FD397B" w:rsidRDefault="003B509A" w:rsidP="00FF6F6A">
    <w:pPr>
      <w:pStyle w:val="Header"/>
      <w:jc w:val="right"/>
      <w:rPr>
        <w:rFonts w:ascii="Corbel" w:hAnsi="Corbel"/>
        <w:color w:val="auto"/>
        <w:sz w:val="36"/>
        <w:szCs w:val="3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Pr="00AA63F8" w:rsidRDefault="003B509A" w:rsidP="00A33453">
    <w:pPr>
      <w:pStyle w:val="Header"/>
      <w:pBdr>
        <w:bottom w:val="single" w:sz="4" w:space="1" w:color="008080"/>
      </w:pBdr>
      <w:tabs>
        <w:tab w:val="left" w:pos="7260"/>
      </w:tabs>
      <w:jc w:val="right"/>
      <w:rPr>
        <w:rFonts w:ascii="Corbel" w:hAnsi="Corbel"/>
        <w:color w:val="008080"/>
        <w:sz w:val="52"/>
        <w:szCs w:val="52"/>
      </w:rPr>
    </w:pPr>
    <w:r>
      <w:rPr>
        <w:noProof/>
        <w:lang w:eastAsia="en-GB"/>
      </w:rPr>
      <mc:AlternateContent>
        <mc:Choice Requires="wps">
          <w:drawing>
            <wp:anchor distT="0" distB="0" distL="114300" distR="114300" simplePos="0" relativeHeight="251686400" behindDoc="1" locked="0" layoutInCell="0" allowOverlap="1" wp14:anchorId="0924EC41" wp14:editId="25DE6C3E">
              <wp:simplePos x="0" y="0"/>
              <wp:positionH relativeFrom="margin">
                <wp:align>center</wp:align>
              </wp:positionH>
              <wp:positionV relativeFrom="margin">
                <wp:align>center</wp:align>
              </wp:positionV>
              <wp:extent cx="6689090" cy="2675255"/>
              <wp:effectExtent l="0" t="1704975" r="0" b="15443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B509A" w:rsidRDefault="003B509A" w:rsidP="00D66945">
                          <w:pPr>
                            <w:pStyle w:val="NormalWeb"/>
                            <w:spacing w:before="0" w:beforeAutospacing="0" w:after="0" w:afterAutospacing="0"/>
                            <w:jc w:val="center"/>
                          </w:pPr>
                          <w:r>
                            <w:rPr>
                              <w:color w:val="AEAAAA" w:themeColor="background2" w:themeShade="BF"/>
                              <w:sz w:val="2"/>
                              <w:szCs w:val="2"/>
                              <w14:textFill>
                                <w14:solidFill>
                                  <w14:schemeClr w14:val="bg2">
                                    <w14:alpha w14:val="50000"/>
                                    <w14:lumMod w14:val="7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24EC41" id="_x0000_t202" coordsize="21600,21600" o:spt="202" path="m,l,21600r21600,l21600,xe">
              <v:stroke joinstyle="miter"/>
              <v:path gradientshapeok="t" o:connecttype="rect"/>
            </v:shapetype>
            <v:shape id="Text Box 5" o:spid="_x0000_s1030" type="#_x0000_t202" style="position:absolute;left:0;text-align:left;margin-left:0;margin-top:0;width:526.7pt;height:210.65pt;rotation:-45;z-index:-251630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0hgIAAP0EAAAOAAAAZHJzL2Uyb0RvYy54bWysVMtu2zAQvBfoPxC8O5IM2bGEyIHzcC9p&#10;GyAucqZFymIrcVmStmQU/fcuKdlJ2ktR1AeaWq6GMzu7urru24YchLESVEGTi5gSoUrgUu0K+mWz&#10;niwosY4pzhpQoqBHYen18v27q07nYgo1NFwYgiDK5p0uaO2czqPIlrVomb0ALRQeVmBa5vDR7CJu&#10;WIfobRNN43gedWC4NlAKazF6NxzSZcCvKlG6z1VlhSNNQZGbC6sJ69av0fKK5TvDdC3LkQb7BxYt&#10;kwovPUPdMcfI3sg/oFpZGrBQuYsS2giqSpYiaEA1SfybmqeaaRG0YHGsPpfJ/j/Y8tPh0RDJCzqj&#10;RLEWLdqI3pEb6MnMV6fTNsekJ41prscwuhyUWv0A5TdLFNzWTO3EyhjoasE4sksQawwHDZujRuAQ&#10;9ej3XKIRiYePXuEPl1l/07b7CBxfYXsH4ba+Mi0x4F9bZLH/hTAWkCAjdPZ4dtPTLzE4n2Nmhkcl&#10;nk3nl7PpLCiKWO7RvFvaWPdBQEv8pqAG2yXAssODdZ7dS4pPR2SMj7vB3h9ZMk3jm2k2Wc8Xl5N0&#10;nc4m2WW8mMRJdpPN4zRL79Y/PWiS5rXkXKgHqcSp1ZL076wcm35oktBspCtohpICXwuN5GvZNJ6b&#10;NbvtbWPIgfmeH2o1aHmTZmCvOMZZ7k27H/eOyWbYR28Zh2JgAU7/oRDBPW/YYJ3rtz0ieku3wI/o&#10;Y4eTVVD7fc+MwJ7Yt7eApLARKgPtM47uynhLgwjvwaZ/ZkaPdji87rE5TVbwxNPd8bFRGf+KQG2D&#10;A4taySx0xaB0TB79G1BDbfQKO2otg7kvPMc+xBkL8sbvgR/i188h6+WrtfwFAAD//wMAUEsDBBQA&#10;BgAIAAAAIQAWAD/I3AAAAAYBAAAPAAAAZHJzL2Rvd25yZXYueG1sTI/BTsMwEETvSPyDtZW4UadN&#10;QSjEqRARhx7bIs7beJuE2usQO03K1+NygctKoxnNvM3XkzXiTL1vHStYzBMQxJXTLdcK3vdv908g&#10;fEDWaByTggt5WBe3Nzlm2o28pfMu1CKWsM9QQRNCl0npq4Ys+rnriKN3dL3FEGVfS93jGMutkcsk&#10;eZQWW44LDXb02lB12g1Wgf4+Xrp0HPebzbYcvkxblvTxqdTdbHp5BhFoCn9huOJHdCgi08ENrL0w&#10;CuIj4fdeveQhXYE4KFgtFynIIpf/8YsfAAAA//8DAFBLAQItABQABgAIAAAAIQC2gziS/gAAAOEB&#10;AAATAAAAAAAAAAAAAAAAAAAAAABbQ29udGVudF9UeXBlc10ueG1sUEsBAi0AFAAGAAgAAAAhADj9&#10;If/WAAAAlAEAAAsAAAAAAAAAAAAAAAAALwEAAF9yZWxzLy5yZWxzUEsBAi0AFAAGAAgAAAAhANb8&#10;O3SGAgAA/QQAAA4AAAAAAAAAAAAAAAAALgIAAGRycy9lMm9Eb2MueG1sUEsBAi0AFAAGAAgAAAAh&#10;ABYAP8jcAAAABgEAAA8AAAAAAAAAAAAAAAAA4AQAAGRycy9kb3ducmV2LnhtbFBLBQYAAAAABAAE&#10;APMAAADpBQAAAAA=&#10;" o:allowincell="f" filled="f" stroked="f">
              <v:stroke joinstyle="round"/>
              <o:lock v:ext="edit" shapetype="t"/>
              <v:textbox style="mso-fit-shape-to-text:t">
                <w:txbxContent>
                  <w:p w:rsidR="003B509A" w:rsidRDefault="003B509A" w:rsidP="00D66945">
                    <w:pPr>
                      <w:pStyle w:val="NormalWeb"/>
                      <w:spacing w:before="0" w:beforeAutospacing="0" w:after="0" w:afterAutospacing="0"/>
                      <w:jc w:val="center"/>
                    </w:pPr>
                    <w:r>
                      <w:rPr>
                        <w:color w:val="AEAAAA" w:themeColor="background2" w:themeShade="BF"/>
                        <w:sz w:val="2"/>
                        <w:szCs w:val="2"/>
                        <w14:textFill>
                          <w14:solidFill>
                            <w14:schemeClr w14:val="bg2">
                              <w14:alpha w14:val="50000"/>
                              <w14:lumMod w14:val="75000"/>
                            </w14:schemeClr>
                          </w14:solidFill>
                        </w14:textFill>
                      </w:rPr>
                      <w:t>DRAFT</w:t>
                    </w:r>
                  </w:p>
                </w:txbxContent>
              </v:textbox>
              <w10:wrap anchorx="margin" anchory="margin"/>
            </v:shape>
          </w:pict>
        </mc:Fallback>
      </mc:AlternateContent>
    </w:r>
    <w:r w:rsidRPr="00AA63F8">
      <w:rPr>
        <w:rFonts w:ascii="Corbel" w:hAnsi="Corbel"/>
        <w:color w:val="008080"/>
        <w:sz w:val="52"/>
        <w:szCs w:val="52"/>
      </w:rPr>
      <w:t>Pension fund accounts</w:t>
    </w:r>
  </w:p>
  <w:p w:rsidR="003B509A" w:rsidRDefault="001A4667">
    <w:pPr>
      <w:pStyle w:val="Header"/>
    </w:pPr>
    <w:r>
      <w:rPr>
        <w:noProof/>
      </w:rPr>
      <w:pict w14:anchorId="68883D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9" o:spid="_x0000_s2075" type="#_x0000_t136" style="position:absolute;left:0;text-align:left;margin-left:0;margin-top:0;width:526.7pt;height:210.65pt;rotation:315;z-index:-251631104;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1A4667">
    <w:pPr>
      <w:pStyle w:val="Header"/>
    </w:pPr>
    <w:r>
      <w:rPr>
        <w:noProof/>
      </w:rPr>
      <w:pict w14:anchorId="4DBD5F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7" o:spid="_x0000_s2073" type="#_x0000_t136" style="position:absolute;left:0;text-align:left;margin-left:0;margin-top:0;width:526.7pt;height:210.65pt;rotation:315;z-index:-251633152;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3B509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67" w:type="dxa"/>
      <w:tblLayout w:type="fixed"/>
      <w:tblCellMar>
        <w:left w:w="0" w:type="dxa"/>
        <w:right w:w="0" w:type="dxa"/>
      </w:tblCellMar>
      <w:tblLook w:val="0000" w:firstRow="0" w:lastRow="0" w:firstColumn="0" w:lastColumn="0" w:noHBand="0" w:noVBand="0"/>
    </w:tblPr>
    <w:tblGrid>
      <w:gridCol w:w="5245"/>
      <w:gridCol w:w="8222"/>
    </w:tblGrid>
    <w:tr w:rsidR="003B509A" w:rsidTr="00FF6F6A">
      <w:tc>
        <w:tcPr>
          <w:tcW w:w="5245" w:type="dxa"/>
        </w:tcPr>
        <w:p w:rsidR="003B509A" w:rsidRDefault="003B509A" w:rsidP="00FF6F6A">
          <w:pPr>
            <w:pStyle w:val="ClientNameHeaderandfooter"/>
          </w:pPr>
        </w:p>
      </w:tc>
      <w:tc>
        <w:tcPr>
          <w:tcW w:w="8222" w:type="dxa"/>
        </w:tcPr>
        <w:p w:rsidR="003B509A" w:rsidRPr="006F56A1" w:rsidRDefault="003B509A" w:rsidP="00FF6F6A">
          <w:pPr>
            <w:pStyle w:val="ClientNameHeaderandfooter"/>
            <w:jc w:val="right"/>
            <w:rPr>
              <w:b/>
            </w:rPr>
          </w:pPr>
        </w:p>
      </w:tc>
    </w:tr>
  </w:tbl>
  <w:p w:rsidR="003B509A" w:rsidRPr="00FD397B" w:rsidRDefault="003B509A" w:rsidP="00FF6F6A">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3B509A" w:rsidRPr="00FD397B" w:rsidRDefault="003B509A" w:rsidP="00FF6F6A">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2017-18</w:t>
    </w:r>
  </w:p>
  <w:p w:rsidR="003B509A" w:rsidRDefault="003B509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3B509A">
    <w:pPr>
      <w:pStyle w:val="Header"/>
    </w:pPr>
    <w:r>
      <w:rPr>
        <w:noProof/>
        <w:lang w:eastAsia="en-GB"/>
      </w:rPr>
      <mc:AlternateContent>
        <mc:Choice Requires="wps">
          <w:drawing>
            <wp:anchor distT="0" distB="0" distL="114300" distR="114300" simplePos="0" relativeHeight="251653632" behindDoc="1" locked="0" layoutInCell="0" allowOverlap="1" wp14:anchorId="78DA85F1" wp14:editId="72517319">
              <wp:simplePos x="0" y="0"/>
              <wp:positionH relativeFrom="margin">
                <wp:align>center</wp:align>
              </wp:positionH>
              <wp:positionV relativeFrom="margin">
                <wp:align>center</wp:align>
              </wp:positionV>
              <wp:extent cx="6689090" cy="2675255"/>
              <wp:effectExtent l="0" t="1809750" r="0" b="1468120"/>
              <wp:wrapNone/>
              <wp:docPr id="18"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B509A" w:rsidRDefault="003B509A" w:rsidP="00FF6F6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DA85F1" id="_x0000_t202" coordsize="21600,21600" o:spt="202" path="m,l,21600r21600,l21600,xe">
              <v:stroke joinstyle="miter"/>
              <v:path gradientshapeok="t" o:connecttype="rect"/>
            </v:shapetype>
            <v:shape id="WordArt 34" o:spid="_x0000_s1031" type="#_x0000_t202" style="position:absolute;left:0;text-align:left;margin-left:0;margin-top:0;width:526.7pt;height:210.6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asiQIAAAUFAAAOAAAAZHJzL2Uyb0RvYy54bWysVMtu2zAQvBfoPxC6O5Jc2bGEyEFe7iVt&#10;A8RFzrRIWWxFLkvSloyg/94lJTtJeymK+kBTy9Xs7M5QF5e9bMmeGytAlVF6lkSEqwqYUNsy+rpe&#10;TRYRsY4qRltQvIwO3EaXy/fvLjpd8Ck00DJuCIIoW3S6jBrndBHHtmq4pPYMNFd4WIOR1OGj2cbM&#10;0A7RZRtPk2Qed2CYNlBxazF6OxxGy4Bf17xyX+rackfaMkJuLqwmrBu/xssLWmwN1Y2oRhr0H1hI&#10;KhQWPUHdUkfJzog/oKSoDFio3VkFMoa6FhUPPWA3afJbN48N1Tz0gsOx+jQm+/9gq8/7B0MEQ+1Q&#10;KUUlavSEI70yjnzI/Hg6bQvMetSY5/pr6DE1tGr1PVTfLVFw01C15VfGQNdwypBeilhjODSxPmgE&#10;DtE1790dE6hE6uHjV/hDMesrbbpPwPAVunMQqvW1kcSAf22RJ/4XwjhBgoxQ2sNJTixAKgzO55iZ&#10;41GFZ9P5+Ww6m4WStPBoXi5trPvIQRK/KSODfgmwdH9vnWf3kuLTERnj427Q9zlPp1lyPc0nq/ni&#10;fJKtstkkP08WkyTNr/N5kuXZ7eqnB02zohGMcXUvFD96Lc3+TsvR9YNLgttIV0Y5thT4WmgFW4m2&#10;9dys2W5uWkP21Jt+mNXQy5s0AzvFME4LL9rduHdUtMM+fss4DAMHcPwPgwjqecEG6Vy/6QczHZ2z&#10;AXZAOTu8YWVkf+yo4WiNnbwB5IZ+qA3I0W/+2bPxUqz7J2r0qIrDqg/t8YYFaXzelo1+pewbAskW&#10;Ly62TGbBHEPDY/Io44AaRqSv0FgrETT2Dhx4jnbEuxa6HL8L/jK/fg5ZL1+v5S8AAAD//wMAUEsD&#10;BBQABgAIAAAAIQAWAD/I3AAAAAYBAAAPAAAAZHJzL2Rvd25yZXYueG1sTI/BTsMwEETvSPyDtZW4&#10;UadNQSjEqRARhx7bIs7beJuE2usQO03K1+NygctKoxnNvM3XkzXiTL1vHStYzBMQxJXTLdcK3vdv&#10;908gfEDWaByTggt5WBe3Nzlm2o28pfMu1CKWsM9QQRNCl0npq4Ys+rnriKN3dL3FEGVfS93jGMut&#10;kcskeZQWW44LDXb02lB12g1Wgf4+Xrp0HPebzbYcvkxblvTxqdTdbHp5BhFoCn9huOJHdCgi08EN&#10;rL0wCuIj4fdeveQhXYE4KFgtFynIIpf/8YsfAAAA//8DAFBLAQItABQABgAIAAAAIQC2gziS/gAA&#10;AOEBAAATAAAAAAAAAAAAAAAAAAAAAABbQ29udGVudF9UeXBlc10ueG1sUEsBAi0AFAAGAAgAAAAh&#10;ADj9If/WAAAAlAEAAAsAAAAAAAAAAAAAAAAALwEAAF9yZWxzLy5yZWxzUEsBAi0AFAAGAAgAAAAh&#10;AEE6FqyJAgAABQUAAA4AAAAAAAAAAAAAAAAALgIAAGRycy9lMm9Eb2MueG1sUEsBAi0AFAAGAAgA&#10;AAAhABYAP8jcAAAABgEAAA8AAAAAAAAAAAAAAAAA4wQAAGRycy9kb3ducmV2LnhtbFBLBQYAAAAA&#10;BAAEAPMAAADsBQAAAAA=&#10;" o:allowincell="f" filled="f" stroked="f">
              <v:stroke joinstyle="round"/>
              <o:lock v:ext="edit" shapetype="t"/>
              <v:textbox style="mso-fit-shape-to-text:t">
                <w:txbxContent>
                  <w:p w:rsidR="003B509A" w:rsidRDefault="003B509A" w:rsidP="00FF6F6A">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2608" behindDoc="1" locked="0" layoutInCell="0" allowOverlap="1" wp14:anchorId="39B96C5C" wp14:editId="197EDD04">
              <wp:simplePos x="0" y="0"/>
              <wp:positionH relativeFrom="margin">
                <wp:align>center</wp:align>
              </wp:positionH>
              <wp:positionV relativeFrom="margin">
                <wp:align>center</wp:align>
              </wp:positionV>
              <wp:extent cx="6689090" cy="2675255"/>
              <wp:effectExtent l="0" t="1809750" r="0" b="1468120"/>
              <wp:wrapNone/>
              <wp:docPr id="16"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B509A" w:rsidRDefault="003B509A" w:rsidP="00FF6F6A">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B96C5C" id="WordArt 33" o:spid="_x0000_s1032" type="#_x0000_t202" style="position:absolute;left:0;text-align:left;margin-left:0;margin-top:0;width:526.7pt;height:210.65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uMiQIAAAUFAAAOAAAAZHJzL2Uyb0RvYy54bWysVMtu2zAQvBfoPxC8O3pEViwhcpCXe0nb&#10;AHGRMy1SFlvxUZK2ZBT99y4p2UnaS1HUB5parmZnd4a6vBpEh/bMWK5khZOzGCMma0W53Fb4y3o1&#10;W2BkHZGUdEqyCh+YxVfL9+8ue12yVLWqo8wgAJG27HWFW+d0GUW2bpkg9kxpJuGwUUYQB49mG1FD&#10;ekAXXZTGcR71ylBtVM2shejdeIiXAb9pWO0+N41lDnUVBm4urCasG79Gy0tSbg3RLa8nGuQfWAjC&#10;JRQ9Qd0RR9DO8D+gBK+NsqpxZ7USkWoaXrPQA3STxL9189QSzUIvMByrT2Oy/w+2/rR/NIhT0C7H&#10;SBIBGj3DSK+NQ+fnfjy9tiVkPWnIc8ONGiA1tGr1g6q/WSTVbUvkll0bo/qWEQr0EsCawqGJ9UED&#10;cIiu2eDuKQclEg8fvcIfi1lfadN/VBReITunQrWhMQIZ5V9bFLH/hTBMEAEjkPZwkhMKoBqCeQ6Z&#10;BRzVcJbmF/N0Pg8lSenRvFzaWPeBKYH8psIG/BJgyf7BOs/uJcWnAzLEp92o748iSbP4Ji1mq3xx&#10;MctW2XxWXMSLWZwUN0UeZ0V2t/rpQZOsbDmlTD5wyY5eS7K/03Jy/eiS4DbUV7iAlgJfqzpOV7zr&#10;PDdrtpvbzqA98aYfZzX28ibNqJ2kECelF+1+2jvCu3EfvWUchgEDOP6HQQT1vGCjdG7YDMFM6dE5&#10;G0UPIGcPN6zC9vuOGAbW2IlbBdzAD41RYvKbf/ZsvBTr4ZkYPanioOpjd7xhQRqft6WTXwn9CkCi&#10;g4sLLaN5MMfY8JQ8yTiihhHpazDWigeNvQNHnpMd4a6FLqfvgr/Mr59D1svXa/kLAAD//wMAUEsD&#10;BBQABgAIAAAAIQAWAD/I3AAAAAYBAAAPAAAAZHJzL2Rvd25yZXYueG1sTI/BTsMwEETvSPyDtZW4&#10;UadNQSjEqRARhx7bIs7beJuE2usQO03K1+NygctKoxnNvM3XkzXiTL1vHStYzBMQxJXTLdcK3vdv&#10;908gfEDWaByTggt5WBe3Nzlm2o28pfMu1CKWsM9QQRNCl0npq4Ys+rnriKN3dL3FEGVfS93jGMut&#10;kcskeZQWW44LDXb02lB12g1Wgf4+Xrp0HPebzbYcvkxblvTxqdTdbHp5BhFoCn9huOJHdCgi08EN&#10;rL0wCuIj4fdeveQhXYE4KFgtFynIIpf/8YsfAAAA//8DAFBLAQItABQABgAIAAAAIQC2gziS/gAA&#10;AOEBAAATAAAAAAAAAAAAAAAAAAAAAABbQ29udGVudF9UeXBlc10ueG1sUEsBAi0AFAAGAAgAAAAh&#10;ADj9If/WAAAAlAEAAAsAAAAAAAAAAAAAAAAALwEAAF9yZWxzLy5yZWxzUEsBAi0AFAAGAAgAAAAh&#10;AK3Au4yJAgAABQUAAA4AAAAAAAAAAAAAAAAALgIAAGRycy9lMm9Eb2MueG1sUEsBAi0AFAAGAAgA&#10;AAAhABYAP8jcAAAABgEAAA8AAAAAAAAAAAAAAAAA4wQAAGRycy9kb3ducmV2LnhtbFBLBQYAAAAA&#10;BAAEAPMAAADsBQAAAAA=&#10;" o:allowincell="f" filled="f" stroked="f">
              <v:stroke joinstyle="round"/>
              <o:lock v:ext="edit" shapetype="t"/>
              <v:textbox style="mso-fit-shape-to-text:t">
                <w:txbxContent>
                  <w:p w:rsidR="003B509A" w:rsidRDefault="003B509A" w:rsidP="00FF6F6A">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3B509A" w:rsidP="00FF6F6A">
    <w:pPr>
      <w:pStyle w:val="Header"/>
    </w:pPr>
    <w:r>
      <w:rPr>
        <w:noProof/>
        <w:lang w:eastAsia="en-GB"/>
      </w:rPr>
      <w:drawing>
        <wp:anchor distT="0" distB="0" distL="114300" distR="114300" simplePos="0" relativeHeight="251651584" behindDoc="1" locked="0" layoutInCell="1" allowOverlap="1" wp14:anchorId="08EF8532" wp14:editId="6196D7A2">
          <wp:simplePos x="0" y="0"/>
          <wp:positionH relativeFrom="column">
            <wp:posOffset>-457200</wp:posOffset>
          </wp:positionH>
          <wp:positionV relativeFrom="paragraph">
            <wp:posOffset>-474980</wp:posOffset>
          </wp:positionV>
          <wp:extent cx="7568565" cy="10704830"/>
          <wp:effectExtent l="0" t="0" r="0" b="1270"/>
          <wp:wrapNone/>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1A4667">
    <w:pPr>
      <w:pStyle w:val="Header"/>
    </w:pPr>
    <w:r>
      <w:rPr>
        <w:noProof/>
      </w:rPr>
      <w:pict w14:anchorId="21B63D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2" o:spid="_x0000_s2068" type="#_x0000_t136" style="position:absolute;left:0;text-align:left;margin-left:0;margin-top:0;width:526.7pt;height:210.65pt;rotation:315;z-index:-251638272;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Pr="00AA63F8" w:rsidRDefault="001A4667" w:rsidP="00A33453">
    <w:pPr>
      <w:pStyle w:val="Header"/>
      <w:pBdr>
        <w:bottom w:val="single" w:sz="4" w:space="1" w:color="008080"/>
      </w:pBdr>
      <w:tabs>
        <w:tab w:val="left" w:pos="7260"/>
      </w:tabs>
      <w:jc w:val="right"/>
      <w:rPr>
        <w:rFonts w:ascii="Corbel" w:hAnsi="Corbel"/>
        <w:color w:val="008080"/>
        <w:sz w:val="52"/>
        <w:szCs w:val="52"/>
      </w:rPr>
    </w:pPr>
    <w:r>
      <w:rPr>
        <w:noProof/>
      </w:rPr>
      <w:pict w14:anchorId="675831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3" o:spid="_x0000_s2069" type="#_x0000_t136" style="position:absolute;left:0;text-align:left;margin-left:0;margin-top:0;width:526.7pt;height:210.65pt;rotation:315;z-index:-251637248;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r w:rsidR="003B509A" w:rsidRPr="00AA63F8">
      <w:rPr>
        <w:rFonts w:ascii="Corbel" w:hAnsi="Corbel"/>
        <w:color w:val="008080"/>
        <w:sz w:val="52"/>
        <w:szCs w:val="52"/>
      </w:rPr>
      <w:t>Pension fund accounts</w:t>
    </w:r>
  </w:p>
  <w:p w:rsidR="003B509A" w:rsidRDefault="003B50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1A4667">
    <w:pPr>
      <w:pStyle w:val="Header"/>
    </w:pPr>
    <w:r>
      <w:rPr>
        <w:noProof/>
      </w:rPr>
      <w:pict w14:anchorId="3D63E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1" o:spid="_x0000_s2067" type="#_x0000_t136" style="position:absolute;left:0;text-align:left;margin-left:0;margin-top:0;width:526.7pt;height:210.65pt;rotation:315;z-index:-251639296;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1A4667">
    <w:pPr>
      <w:pStyle w:val="Header"/>
    </w:pPr>
    <w:r>
      <w:rPr>
        <w:noProof/>
      </w:rPr>
      <w:pict w14:anchorId="3D3E6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5" o:spid="_x0000_s2071" type="#_x0000_t136" style="position:absolute;left:0;text-align:left;margin-left:0;margin-top:0;width:526.7pt;height:210.65pt;rotation:315;z-index:-251635200;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Pr="00AA63F8" w:rsidRDefault="001A4667" w:rsidP="00A33453">
    <w:pPr>
      <w:pStyle w:val="Header"/>
      <w:pBdr>
        <w:bottom w:val="single" w:sz="4" w:space="1" w:color="008080"/>
      </w:pBdr>
      <w:tabs>
        <w:tab w:val="left" w:pos="7260"/>
      </w:tabs>
      <w:jc w:val="right"/>
      <w:rPr>
        <w:rFonts w:ascii="Corbel" w:hAnsi="Corbel"/>
        <w:color w:val="008080"/>
        <w:sz w:val="52"/>
        <w:szCs w:val="52"/>
      </w:rPr>
    </w:pPr>
    <w:r>
      <w:rPr>
        <w:noProof/>
      </w:rPr>
      <w:pict w14:anchorId="1EE89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6" o:spid="_x0000_s2072" type="#_x0000_t136" style="position:absolute;left:0;text-align:left;margin-left:0;margin-top:0;width:526.7pt;height:210.65pt;rotation:315;z-index:-251634176;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r w:rsidR="003B509A" w:rsidRPr="00AA63F8">
      <w:rPr>
        <w:rFonts w:ascii="Corbel" w:hAnsi="Corbel"/>
        <w:color w:val="008080"/>
        <w:sz w:val="52"/>
        <w:szCs w:val="52"/>
      </w:rPr>
      <w:t>Pension fund accounts</w:t>
    </w:r>
  </w:p>
  <w:p w:rsidR="003B509A" w:rsidRDefault="003B509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1A4667">
    <w:pPr>
      <w:pStyle w:val="Header"/>
    </w:pPr>
    <w:r>
      <w:rPr>
        <w:noProof/>
      </w:rPr>
      <w:pict w14:anchorId="5C6F8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4" o:spid="_x0000_s2070" type="#_x0000_t136" style="position:absolute;left:0;text-align:left;margin-left:0;margin-top:0;width:526.7pt;height:210.65pt;rotation:315;z-index:-251636224;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09A" w:rsidRDefault="001A4667">
    <w:pPr>
      <w:pStyle w:val="Header"/>
    </w:pPr>
    <w:r>
      <w:rPr>
        <w:noProof/>
      </w:rPr>
      <w:pict w14:anchorId="3EEF9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497538" o:spid="_x0000_s2074" type="#_x0000_t136" style="position:absolute;left:0;text-align:left;margin-left:0;margin-top:0;width:526.7pt;height:210.65pt;rotation:315;z-index:-251632128;mso-position-horizontal:center;mso-position-horizontal-relative:margin;mso-position-vertical:center;mso-position-vertical-relative:margin" o:allowincell="f" fillcolor="#aeaaaa [24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27421C6"/>
    <w:lvl w:ilvl="0">
      <w:numFmt w:val="bullet"/>
      <w:lvlText w:val="*"/>
      <w:lvlJc w:val="left"/>
    </w:lvl>
  </w:abstractNum>
  <w:abstractNum w:abstractNumId="1" w15:restartNumberingAfterBreak="0">
    <w:nsid w:val="00E75F98"/>
    <w:multiLevelType w:val="hybridMultilevel"/>
    <w:tmpl w:val="D0481436"/>
    <w:lvl w:ilvl="0" w:tplc="A42CAD7A">
      <w:start w:val="1"/>
      <w:numFmt w:val="decimal"/>
      <w:lvlText w:val="%1)"/>
      <w:lvlJc w:val="left"/>
      <w:pPr>
        <w:ind w:left="720" w:hanging="360"/>
      </w:pPr>
    </w:lvl>
    <w:lvl w:ilvl="1" w:tplc="BBD4239A">
      <w:numFmt w:val="bullet"/>
      <w:lvlText w:val="•"/>
      <w:lvlJc w:val="left"/>
      <w:pPr>
        <w:ind w:left="1440" w:hanging="360"/>
      </w:pPr>
      <w:rPr>
        <w:rFonts w:ascii="Arial" w:eastAsiaTheme="minorHAnsi" w:hAnsi="Arial" w:cs="Arial" w:hint="default"/>
        <w:color w:val="auto"/>
      </w:rPr>
    </w:lvl>
    <w:lvl w:ilvl="2" w:tplc="36F82692" w:tentative="1">
      <w:start w:val="1"/>
      <w:numFmt w:val="lowerRoman"/>
      <w:lvlText w:val="%3."/>
      <w:lvlJc w:val="right"/>
      <w:pPr>
        <w:ind w:left="2160" w:hanging="180"/>
      </w:pPr>
    </w:lvl>
    <w:lvl w:ilvl="3" w:tplc="0C429F6E" w:tentative="1">
      <w:start w:val="1"/>
      <w:numFmt w:val="decimal"/>
      <w:lvlText w:val="%4."/>
      <w:lvlJc w:val="left"/>
      <w:pPr>
        <w:ind w:left="2880" w:hanging="360"/>
      </w:pPr>
    </w:lvl>
    <w:lvl w:ilvl="4" w:tplc="C1B281DA" w:tentative="1">
      <w:start w:val="1"/>
      <w:numFmt w:val="lowerLetter"/>
      <w:lvlText w:val="%5."/>
      <w:lvlJc w:val="left"/>
      <w:pPr>
        <w:ind w:left="3600" w:hanging="360"/>
      </w:pPr>
    </w:lvl>
    <w:lvl w:ilvl="5" w:tplc="E67245CE" w:tentative="1">
      <w:start w:val="1"/>
      <w:numFmt w:val="lowerRoman"/>
      <w:lvlText w:val="%6."/>
      <w:lvlJc w:val="right"/>
      <w:pPr>
        <w:ind w:left="4320" w:hanging="180"/>
      </w:pPr>
    </w:lvl>
    <w:lvl w:ilvl="6" w:tplc="7F1238AA" w:tentative="1">
      <w:start w:val="1"/>
      <w:numFmt w:val="decimal"/>
      <w:lvlText w:val="%7."/>
      <w:lvlJc w:val="left"/>
      <w:pPr>
        <w:ind w:left="5040" w:hanging="360"/>
      </w:pPr>
    </w:lvl>
    <w:lvl w:ilvl="7" w:tplc="6568B44C" w:tentative="1">
      <w:start w:val="1"/>
      <w:numFmt w:val="lowerLetter"/>
      <w:lvlText w:val="%8."/>
      <w:lvlJc w:val="left"/>
      <w:pPr>
        <w:ind w:left="5760" w:hanging="360"/>
      </w:pPr>
    </w:lvl>
    <w:lvl w:ilvl="8" w:tplc="747C5544" w:tentative="1">
      <w:start w:val="1"/>
      <w:numFmt w:val="lowerRoman"/>
      <w:lvlText w:val="%9."/>
      <w:lvlJc w:val="right"/>
      <w:pPr>
        <w:ind w:left="6480" w:hanging="180"/>
      </w:pPr>
    </w:lvl>
  </w:abstractNum>
  <w:abstractNum w:abstractNumId="2" w15:restartNumberingAfterBreak="0">
    <w:nsid w:val="105123F9"/>
    <w:multiLevelType w:val="hybridMultilevel"/>
    <w:tmpl w:val="64AC9398"/>
    <w:lvl w:ilvl="0" w:tplc="62DCFBE2">
      <w:start w:val="1"/>
      <w:numFmt w:val="bullet"/>
      <w:lvlText w:val=""/>
      <w:lvlJc w:val="left"/>
      <w:pPr>
        <w:ind w:left="1287" w:hanging="360"/>
      </w:pPr>
      <w:rPr>
        <w:rFonts w:ascii="Symbol" w:hAnsi="Symbol" w:hint="default"/>
      </w:rPr>
    </w:lvl>
    <w:lvl w:ilvl="1" w:tplc="A1AA6304">
      <w:start w:val="1"/>
      <w:numFmt w:val="bullet"/>
      <w:lvlText w:val="o"/>
      <w:lvlJc w:val="left"/>
      <w:pPr>
        <w:ind w:left="2007" w:hanging="360"/>
      </w:pPr>
      <w:rPr>
        <w:rFonts w:ascii="Courier New" w:hAnsi="Courier New" w:cs="Courier New" w:hint="default"/>
      </w:rPr>
    </w:lvl>
    <w:lvl w:ilvl="2" w:tplc="0A7C925E" w:tentative="1">
      <w:start w:val="1"/>
      <w:numFmt w:val="bullet"/>
      <w:lvlText w:val=""/>
      <w:lvlJc w:val="left"/>
      <w:pPr>
        <w:ind w:left="2727" w:hanging="360"/>
      </w:pPr>
      <w:rPr>
        <w:rFonts w:ascii="Wingdings" w:hAnsi="Wingdings" w:hint="default"/>
      </w:rPr>
    </w:lvl>
    <w:lvl w:ilvl="3" w:tplc="99167480" w:tentative="1">
      <w:start w:val="1"/>
      <w:numFmt w:val="bullet"/>
      <w:lvlText w:val=""/>
      <w:lvlJc w:val="left"/>
      <w:pPr>
        <w:ind w:left="3447" w:hanging="360"/>
      </w:pPr>
      <w:rPr>
        <w:rFonts w:ascii="Symbol" w:hAnsi="Symbol" w:hint="default"/>
      </w:rPr>
    </w:lvl>
    <w:lvl w:ilvl="4" w:tplc="D50E1B0C" w:tentative="1">
      <w:start w:val="1"/>
      <w:numFmt w:val="bullet"/>
      <w:lvlText w:val="o"/>
      <w:lvlJc w:val="left"/>
      <w:pPr>
        <w:ind w:left="4167" w:hanging="360"/>
      </w:pPr>
      <w:rPr>
        <w:rFonts w:ascii="Courier New" w:hAnsi="Courier New" w:cs="Courier New" w:hint="default"/>
      </w:rPr>
    </w:lvl>
    <w:lvl w:ilvl="5" w:tplc="0A860CA4" w:tentative="1">
      <w:start w:val="1"/>
      <w:numFmt w:val="bullet"/>
      <w:lvlText w:val=""/>
      <w:lvlJc w:val="left"/>
      <w:pPr>
        <w:ind w:left="4887" w:hanging="360"/>
      </w:pPr>
      <w:rPr>
        <w:rFonts w:ascii="Wingdings" w:hAnsi="Wingdings" w:hint="default"/>
      </w:rPr>
    </w:lvl>
    <w:lvl w:ilvl="6" w:tplc="2D7430D8" w:tentative="1">
      <w:start w:val="1"/>
      <w:numFmt w:val="bullet"/>
      <w:lvlText w:val=""/>
      <w:lvlJc w:val="left"/>
      <w:pPr>
        <w:ind w:left="5607" w:hanging="360"/>
      </w:pPr>
      <w:rPr>
        <w:rFonts w:ascii="Symbol" w:hAnsi="Symbol" w:hint="default"/>
      </w:rPr>
    </w:lvl>
    <w:lvl w:ilvl="7" w:tplc="2676C7E0" w:tentative="1">
      <w:start w:val="1"/>
      <w:numFmt w:val="bullet"/>
      <w:lvlText w:val="o"/>
      <w:lvlJc w:val="left"/>
      <w:pPr>
        <w:ind w:left="6327" w:hanging="360"/>
      </w:pPr>
      <w:rPr>
        <w:rFonts w:ascii="Courier New" w:hAnsi="Courier New" w:cs="Courier New" w:hint="default"/>
      </w:rPr>
    </w:lvl>
    <w:lvl w:ilvl="8" w:tplc="6AAE340A" w:tentative="1">
      <w:start w:val="1"/>
      <w:numFmt w:val="bullet"/>
      <w:lvlText w:val=""/>
      <w:lvlJc w:val="left"/>
      <w:pPr>
        <w:ind w:left="7047" w:hanging="360"/>
      </w:pPr>
      <w:rPr>
        <w:rFonts w:ascii="Wingdings" w:hAnsi="Wingdings" w:hint="default"/>
      </w:rPr>
    </w:lvl>
  </w:abstractNum>
  <w:abstractNum w:abstractNumId="3" w15:restartNumberingAfterBreak="0">
    <w:nsid w:val="12882DB5"/>
    <w:multiLevelType w:val="hybridMultilevel"/>
    <w:tmpl w:val="73562232"/>
    <w:lvl w:ilvl="0" w:tplc="DC24D0F6">
      <w:start w:val="1"/>
      <w:numFmt w:val="bullet"/>
      <w:lvlText w:val=""/>
      <w:lvlJc w:val="left"/>
      <w:pPr>
        <w:ind w:left="720" w:hanging="360"/>
      </w:pPr>
      <w:rPr>
        <w:rFonts w:ascii="Symbol" w:hAnsi="Symbol" w:hint="default"/>
      </w:rPr>
    </w:lvl>
    <w:lvl w:ilvl="1" w:tplc="E496CF4A" w:tentative="1">
      <w:start w:val="1"/>
      <w:numFmt w:val="bullet"/>
      <w:lvlText w:val="o"/>
      <w:lvlJc w:val="left"/>
      <w:pPr>
        <w:ind w:left="1440" w:hanging="360"/>
      </w:pPr>
      <w:rPr>
        <w:rFonts w:ascii="Courier New" w:hAnsi="Courier New" w:cs="Courier New" w:hint="default"/>
      </w:rPr>
    </w:lvl>
    <w:lvl w:ilvl="2" w:tplc="071E8970" w:tentative="1">
      <w:start w:val="1"/>
      <w:numFmt w:val="bullet"/>
      <w:lvlText w:val=""/>
      <w:lvlJc w:val="left"/>
      <w:pPr>
        <w:ind w:left="2160" w:hanging="360"/>
      </w:pPr>
      <w:rPr>
        <w:rFonts w:ascii="Wingdings" w:hAnsi="Wingdings" w:hint="default"/>
      </w:rPr>
    </w:lvl>
    <w:lvl w:ilvl="3" w:tplc="0A5A91BE" w:tentative="1">
      <w:start w:val="1"/>
      <w:numFmt w:val="bullet"/>
      <w:lvlText w:val=""/>
      <w:lvlJc w:val="left"/>
      <w:pPr>
        <w:ind w:left="2880" w:hanging="360"/>
      </w:pPr>
      <w:rPr>
        <w:rFonts w:ascii="Symbol" w:hAnsi="Symbol" w:hint="default"/>
      </w:rPr>
    </w:lvl>
    <w:lvl w:ilvl="4" w:tplc="C004C92E" w:tentative="1">
      <w:start w:val="1"/>
      <w:numFmt w:val="bullet"/>
      <w:lvlText w:val="o"/>
      <w:lvlJc w:val="left"/>
      <w:pPr>
        <w:ind w:left="3600" w:hanging="360"/>
      </w:pPr>
      <w:rPr>
        <w:rFonts w:ascii="Courier New" w:hAnsi="Courier New" w:cs="Courier New" w:hint="default"/>
      </w:rPr>
    </w:lvl>
    <w:lvl w:ilvl="5" w:tplc="A552D414" w:tentative="1">
      <w:start w:val="1"/>
      <w:numFmt w:val="bullet"/>
      <w:lvlText w:val=""/>
      <w:lvlJc w:val="left"/>
      <w:pPr>
        <w:ind w:left="4320" w:hanging="360"/>
      </w:pPr>
      <w:rPr>
        <w:rFonts w:ascii="Wingdings" w:hAnsi="Wingdings" w:hint="default"/>
      </w:rPr>
    </w:lvl>
    <w:lvl w:ilvl="6" w:tplc="B3ECE71C" w:tentative="1">
      <w:start w:val="1"/>
      <w:numFmt w:val="bullet"/>
      <w:lvlText w:val=""/>
      <w:lvlJc w:val="left"/>
      <w:pPr>
        <w:ind w:left="5040" w:hanging="360"/>
      </w:pPr>
      <w:rPr>
        <w:rFonts w:ascii="Symbol" w:hAnsi="Symbol" w:hint="default"/>
      </w:rPr>
    </w:lvl>
    <w:lvl w:ilvl="7" w:tplc="D6561C2C" w:tentative="1">
      <w:start w:val="1"/>
      <w:numFmt w:val="bullet"/>
      <w:lvlText w:val="o"/>
      <w:lvlJc w:val="left"/>
      <w:pPr>
        <w:ind w:left="5760" w:hanging="360"/>
      </w:pPr>
      <w:rPr>
        <w:rFonts w:ascii="Courier New" w:hAnsi="Courier New" w:cs="Courier New" w:hint="default"/>
      </w:rPr>
    </w:lvl>
    <w:lvl w:ilvl="8" w:tplc="4822A39C" w:tentative="1">
      <w:start w:val="1"/>
      <w:numFmt w:val="bullet"/>
      <w:lvlText w:val=""/>
      <w:lvlJc w:val="left"/>
      <w:pPr>
        <w:ind w:left="6480" w:hanging="360"/>
      </w:pPr>
      <w:rPr>
        <w:rFonts w:ascii="Wingdings" w:hAnsi="Wingdings" w:hint="default"/>
      </w:rPr>
    </w:lvl>
  </w:abstractNum>
  <w:abstractNum w:abstractNumId="4" w15:restartNumberingAfterBreak="0">
    <w:nsid w:val="12DD4C0B"/>
    <w:multiLevelType w:val="hybridMultilevel"/>
    <w:tmpl w:val="EA0447CA"/>
    <w:lvl w:ilvl="0" w:tplc="D5584FDA">
      <w:start w:val="1"/>
      <w:numFmt w:val="bullet"/>
      <w:lvlText w:val=""/>
      <w:lvlJc w:val="left"/>
      <w:pPr>
        <w:ind w:left="720" w:hanging="360"/>
      </w:pPr>
      <w:rPr>
        <w:rFonts w:ascii="Symbol" w:hAnsi="Symbol" w:hint="default"/>
      </w:rPr>
    </w:lvl>
    <w:lvl w:ilvl="1" w:tplc="E77C20D2" w:tentative="1">
      <w:start w:val="1"/>
      <w:numFmt w:val="bullet"/>
      <w:lvlText w:val="o"/>
      <w:lvlJc w:val="left"/>
      <w:pPr>
        <w:ind w:left="1440" w:hanging="360"/>
      </w:pPr>
      <w:rPr>
        <w:rFonts w:ascii="Courier New" w:hAnsi="Courier New" w:cs="Courier New" w:hint="default"/>
      </w:rPr>
    </w:lvl>
    <w:lvl w:ilvl="2" w:tplc="6690FB48" w:tentative="1">
      <w:start w:val="1"/>
      <w:numFmt w:val="bullet"/>
      <w:lvlText w:val=""/>
      <w:lvlJc w:val="left"/>
      <w:pPr>
        <w:ind w:left="2160" w:hanging="360"/>
      </w:pPr>
      <w:rPr>
        <w:rFonts w:ascii="Wingdings" w:hAnsi="Wingdings" w:hint="default"/>
      </w:rPr>
    </w:lvl>
    <w:lvl w:ilvl="3" w:tplc="A9EA148E" w:tentative="1">
      <w:start w:val="1"/>
      <w:numFmt w:val="bullet"/>
      <w:lvlText w:val=""/>
      <w:lvlJc w:val="left"/>
      <w:pPr>
        <w:ind w:left="2880" w:hanging="360"/>
      </w:pPr>
      <w:rPr>
        <w:rFonts w:ascii="Symbol" w:hAnsi="Symbol" w:hint="default"/>
      </w:rPr>
    </w:lvl>
    <w:lvl w:ilvl="4" w:tplc="05BEA684" w:tentative="1">
      <w:start w:val="1"/>
      <w:numFmt w:val="bullet"/>
      <w:lvlText w:val="o"/>
      <w:lvlJc w:val="left"/>
      <w:pPr>
        <w:ind w:left="3600" w:hanging="360"/>
      </w:pPr>
      <w:rPr>
        <w:rFonts w:ascii="Courier New" w:hAnsi="Courier New" w:cs="Courier New" w:hint="default"/>
      </w:rPr>
    </w:lvl>
    <w:lvl w:ilvl="5" w:tplc="BD82CEE6" w:tentative="1">
      <w:start w:val="1"/>
      <w:numFmt w:val="bullet"/>
      <w:lvlText w:val=""/>
      <w:lvlJc w:val="left"/>
      <w:pPr>
        <w:ind w:left="4320" w:hanging="360"/>
      </w:pPr>
      <w:rPr>
        <w:rFonts w:ascii="Wingdings" w:hAnsi="Wingdings" w:hint="default"/>
      </w:rPr>
    </w:lvl>
    <w:lvl w:ilvl="6" w:tplc="0DDAB188" w:tentative="1">
      <w:start w:val="1"/>
      <w:numFmt w:val="bullet"/>
      <w:lvlText w:val=""/>
      <w:lvlJc w:val="left"/>
      <w:pPr>
        <w:ind w:left="5040" w:hanging="360"/>
      </w:pPr>
      <w:rPr>
        <w:rFonts w:ascii="Symbol" w:hAnsi="Symbol" w:hint="default"/>
      </w:rPr>
    </w:lvl>
    <w:lvl w:ilvl="7" w:tplc="546E8B36" w:tentative="1">
      <w:start w:val="1"/>
      <w:numFmt w:val="bullet"/>
      <w:lvlText w:val="o"/>
      <w:lvlJc w:val="left"/>
      <w:pPr>
        <w:ind w:left="5760" w:hanging="360"/>
      </w:pPr>
      <w:rPr>
        <w:rFonts w:ascii="Courier New" w:hAnsi="Courier New" w:cs="Courier New" w:hint="default"/>
      </w:rPr>
    </w:lvl>
    <w:lvl w:ilvl="8" w:tplc="336630BC" w:tentative="1">
      <w:start w:val="1"/>
      <w:numFmt w:val="bullet"/>
      <w:lvlText w:val=""/>
      <w:lvlJc w:val="left"/>
      <w:pPr>
        <w:ind w:left="6480" w:hanging="360"/>
      </w:pPr>
      <w:rPr>
        <w:rFonts w:ascii="Wingdings" w:hAnsi="Wingdings" w:hint="default"/>
      </w:rPr>
    </w:lvl>
  </w:abstractNum>
  <w:abstractNum w:abstractNumId="5" w15:restartNumberingAfterBreak="0">
    <w:nsid w:val="132A60E1"/>
    <w:multiLevelType w:val="hybridMultilevel"/>
    <w:tmpl w:val="DDA4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447B7"/>
    <w:multiLevelType w:val="hybridMultilevel"/>
    <w:tmpl w:val="E8DE488C"/>
    <w:lvl w:ilvl="0" w:tplc="C04E282E">
      <w:start w:val="1"/>
      <w:numFmt w:val="bullet"/>
      <w:lvlText w:val=""/>
      <w:lvlJc w:val="left"/>
      <w:pPr>
        <w:ind w:left="1080" w:hanging="360"/>
      </w:pPr>
      <w:rPr>
        <w:rFonts w:ascii="Symbol" w:hAnsi="Symbol" w:hint="default"/>
        <w:b w:val="0"/>
        <w:i w:val="0"/>
        <w:color w:val="808080" w:themeColor="background1" w:themeShade="80"/>
        <w:sz w:val="22"/>
        <w:szCs w:val="22"/>
      </w:rPr>
    </w:lvl>
    <w:lvl w:ilvl="1" w:tplc="EF540BF6" w:tentative="1">
      <w:start w:val="1"/>
      <w:numFmt w:val="lowerLetter"/>
      <w:lvlText w:val="%2."/>
      <w:lvlJc w:val="left"/>
      <w:pPr>
        <w:ind w:left="1800" w:hanging="360"/>
      </w:pPr>
    </w:lvl>
    <w:lvl w:ilvl="2" w:tplc="614AB8E8" w:tentative="1">
      <w:start w:val="1"/>
      <w:numFmt w:val="lowerRoman"/>
      <w:lvlText w:val="%3."/>
      <w:lvlJc w:val="right"/>
      <w:pPr>
        <w:ind w:left="2520" w:hanging="180"/>
      </w:pPr>
    </w:lvl>
    <w:lvl w:ilvl="3" w:tplc="1E608E5A" w:tentative="1">
      <w:start w:val="1"/>
      <w:numFmt w:val="decimal"/>
      <w:lvlText w:val="%4."/>
      <w:lvlJc w:val="left"/>
      <w:pPr>
        <w:ind w:left="3240" w:hanging="360"/>
      </w:pPr>
    </w:lvl>
    <w:lvl w:ilvl="4" w:tplc="A97ECDB6" w:tentative="1">
      <w:start w:val="1"/>
      <w:numFmt w:val="lowerLetter"/>
      <w:lvlText w:val="%5."/>
      <w:lvlJc w:val="left"/>
      <w:pPr>
        <w:ind w:left="3960" w:hanging="360"/>
      </w:pPr>
    </w:lvl>
    <w:lvl w:ilvl="5" w:tplc="73D2C35A" w:tentative="1">
      <w:start w:val="1"/>
      <w:numFmt w:val="lowerRoman"/>
      <w:lvlText w:val="%6."/>
      <w:lvlJc w:val="right"/>
      <w:pPr>
        <w:ind w:left="4680" w:hanging="180"/>
      </w:pPr>
    </w:lvl>
    <w:lvl w:ilvl="6" w:tplc="F1BC5E0E" w:tentative="1">
      <w:start w:val="1"/>
      <w:numFmt w:val="decimal"/>
      <w:lvlText w:val="%7."/>
      <w:lvlJc w:val="left"/>
      <w:pPr>
        <w:ind w:left="5400" w:hanging="360"/>
      </w:pPr>
    </w:lvl>
    <w:lvl w:ilvl="7" w:tplc="9A264604" w:tentative="1">
      <w:start w:val="1"/>
      <w:numFmt w:val="lowerLetter"/>
      <w:lvlText w:val="%8."/>
      <w:lvlJc w:val="left"/>
      <w:pPr>
        <w:ind w:left="6120" w:hanging="360"/>
      </w:pPr>
    </w:lvl>
    <w:lvl w:ilvl="8" w:tplc="8A0A0CFC" w:tentative="1">
      <w:start w:val="1"/>
      <w:numFmt w:val="lowerRoman"/>
      <w:lvlText w:val="%9."/>
      <w:lvlJc w:val="right"/>
      <w:pPr>
        <w:ind w:left="6840" w:hanging="180"/>
      </w:pPr>
    </w:lvl>
  </w:abstractNum>
  <w:abstractNum w:abstractNumId="7" w15:restartNumberingAfterBreak="0">
    <w:nsid w:val="14F06F8C"/>
    <w:multiLevelType w:val="multilevel"/>
    <w:tmpl w:val="5330D414"/>
    <w:lvl w:ilvl="0">
      <w:start w:val="1"/>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8" w15:restartNumberingAfterBreak="0">
    <w:nsid w:val="169C1CAD"/>
    <w:multiLevelType w:val="hybridMultilevel"/>
    <w:tmpl w:val="0324FDEE"/>
    <w:lvl w:ilvl="0" w:tplc="A0C41B2C">
      <w:start w:val="1"/>
      <w:numFmt w:val="bullet"/>
      <w:lvlText w:val=""/>
      <w:lvlJc w:val="left"/>
      <w:pPr>
        <w:ind w:left="720" w:hanging="360"/>
      </w:pPr>
      <w:rPr>
        <w:rFonts w:ascii="Symbol" w:hAnsi="Symbol" w:hint="default"/>
      </w:rPr>
    </w:lvl>
    <w:lvl w:ilvl="1" w:tplc="E204313A">
      <w:start w:val="1"/>
      <w:numFmt w:val="bullet"/>
      <w:lvlText w:val="o"/>
      <w:lvlJc w:val="left"/>
      <w:pPr>
        <w:ind w:left="1440" w:hanging="360"/>
      </w:pPr>
      <w:rPr>
        <w:rFonts w:ascii="Courier New" w:hAnsi="Courier New" w:cs="Courier New" w:hint="default"/>
      </w:rPr>
    </w:lvl>
    <w:lvl w:ilvl="2" w:tplc="F110B5D6" w:tentative="1">
      <w:start w:val="1"/>
      <w:numFmt w:val="bullet"/>
      <w:lvlText w:val=""/>
      <w:lvlJc w:val="left"/>
      <w:pPr>
        <w:ind w:left="2160" w:hanging="360"/>
      </w:pPr>
      <w:rPr>
        <w:rFonts w:ascii="Wingdings" w:hAnsi="Wingdings" w:hint="default"/>
      </w:rPr>
    </w:lvl>
    <w:lvl w:ilvl="3" w:tplc="58425AD6" w:tentative="1">
      <w:start w:val="1"/>
      <w:numFmt w:val="bullet"/>
      <w:lvlText w:val=""/>
      <w:lvlJc w:val="left"/>
      <w:pPr>
        <w:ind w:left="2880" w:hanging="360"/>
      </w:pPr>
      <w:rPr>
        <w:rFonts w:ascii="Symbol" w:hAnsi="Symbol" w:hint="default"/>
      </w:rPr>
    </w:lvl>
    <w:lvl w:ilvl="4" w:tplc="32228DB8" w:tentative="1">
      <w:start w:val="1"/>
      <w:numFmt w:val="bullet"/>
      <w:lvlText w:val="o"/>
      <w:lvlJc w:val="left"/>
      <w:pPr>
        <w:ind w:left="3600" w:hanging="360"/>
      </w:pPr>
      <w:rPr>
        <w:rFonts w:ascii="Courier New" w:hAnsi="Courier New" w:cs="Courier New" w:hint="default"/>
      </w:rPr>
    </w:lvl>
    <w:lvl w:ilvl="5" w:tplc="2F1213B0" w:tentative="1">
      <w:start w:val="1"/>
      <w:numFmt w:val="bullet"/>
      <w:lvlText w:val=""/>
      <w:lvlJc w:val="left"/>
      <w:pPr>
        <w:ind w:left="4320" w:hanging="360"/>
      </w:pPr>
      <w:rPr>
        <w:rFonts w:ascii="Wingdings" w:hAnsi="Wingdings" w:hint="default"/>
      </w:rPr>
    </w:lvl>
    <w:lvl w:ilvl="6" w:tplc="B47EE57C" w:tentative="1">
      <w:start w:val="1"/>
      <w:numFmt w:val="bullet"/>
      <w:lvlText w:val=""/>
      <w:lvlJc w:val="left"/>
      <w:pPr>
        <w:ind w:left="5040" w:hanging="360"/>
      </w:pPr>
      <w:rPr>
        <w:rFonts w:ascii="Symbol" w:hAnsi="Symbol" w:hint="default"/>
      </w:rPr>
    </w:lvl>
    <w:lvl w:ilvl="7" w:tplc="8BC8E772" w:tentative="1">
      <w:start w:val="1"/>
      <w:numFmt w:val="bullet"/>
      <w:lvlText w:val="o"/>
      <w:lvlJc w:val="left"/>
      <w:pPr>
        <w:ind w:left="5760" w:hanging="360"/>
      </w:pPr>
      <w:rPr>
        <w:rFonts w:ascii="Courier New" w:hAnsi="Courier New" w:cs="Courier New" w:hint="default"/>
      </w:rPr>
    </w:lvl>
    <w:lvl w:ilvl="8" w:tplc="A1420740" w:tentative="1">
      <w:start w:val="1"/>
      <w:numFmt w:val="bullet"/>
      <w:lvlText w:val=""/>
      <w:lvlJc w:val="left"/>
      <w:pPr>
        <w:ind w:left="6480" w:hanging="360"/>
      </w:pPr>
      <w:rPr>
        <w:rFonts w:ascii="Wingdings" w:hAnsi="Wingdings" w:hint="default"/>
      </w:rPr>
    </w:lvl>
  </w:abstractNum>
  <w:abstractNum w:abstractNumId="9" w15:restartNumberingAfterBreak="0">
    <w:nsid w:val="181C0F73"/>
    <w:multiLevelType w:val="hybridMultilevel"/>
    <w:tmpl w:val="E2DE191E"/>
    <w:lvl w:ilvl="0" w:tplc="EE26D596">
      <w:start w:val="1"/>
      <w:numFmt w:val="decimal"/>
      <w:lvlText w:val="%1."/>
      <w:lvlJc w:val="left"/>
      <w:pPr>
        <w:ind w:left="720" w:hanging="360"/>
      </w:pPr>
      <w:rPr>
        <w:rFonts w:hint="default"/>
      </w:rPr>
    </w:lvl>
    <w:lvl w:ilvl="1" w:tplc="6F521E42" w:tentative="1">
      <w:start w:val="1"/>
      <w:numFmt w:val="lowerLetter"/>
      <w:lvlText w:val="%2."/>
      <w:lvlJc w:val="left"/>
      <w:pPr>
        <w:ind w:left="1440" w:hanging="360"/>
      </w:pPr>
    </w:lvl>
    <w:lvl w:ilvl="2" w:tplc="3216EA4E" w:tentative="1">
      <w:start w:val="1"/>
      <w:numFmt w:val="lowerRoman"/>
      <w:lvlText w:val="%3."/>
      <w:lvlJc w:val="right"/>
      <w:pPr>
        <w:ind w:left="2160" w:hanging="180"/>
      </w:pPr>
    </w:lvl>
    <w:lvl w:ilvl="3" w:tplc="6E182522" w:tentative="1">
      <w:start w:val="1"/>
      <w:numFmt w:val="decimal"/>
      <w:lvlText w:val="%4."/>
      <w:lvlJc w:val="left"/>
      <w:pPr>
        <w:ind w:left="2880" w:hanging="360"/>
      </w:pPr>
    </w:lvl>
    <w:lvl w:ilvl="4" w:tplc="E54C2618" w:tentative="1">
      <w:start w:val="1"/>
      <w:numFmt w:val="lowerLetter"/>
      <w:lvlText w:val="%5."/>
      <w:lvlJc w:val="left"/>
      <w:pPr>
        <w:ind w:left="3600" w:hanging="360"/>
      </w:pPr>
    </w:lvl>
    <w:lvl w:ilvl="5" w:tplc="E68637BE" w:tentative="1">
      <w:start w:val="1"/>
      <w:numFmt w:val="lowerRoman"/>
      <w:lvlText w:val="%6."/>
      <w:lvlJc w:val="right"/>
      <w:pPr>
        <w:ind w:left="4320" w:hanging="180"/>
      </w:pPr>
    </w:lvl>
    <w:lvl w:ilvl="6" w:tplc="052CC2E0" w:tentative="1">
      <w:start w:val="1"/>
      <w:numFmt w:val="decimal"/>
      <w:lvlText w:val="%7."/>
      <w:lvlJc w:val="left"/>
      <w:pPr>
        <w:ind w:left="5040" w:hanging="360"/>
      </w:pPr>
    </w:lvl>
    <w:lvl w:ilvl="7" w:tplc="B9046588" w:tentative="1">
      <w:start w:val="1"/>
      <w:numFmt w:val="lowerLetter"/>
      <w:lvlText w:val="%8."/>
      <w:lvlJc w:val="left"/>
      <w:pPr>
        <w:ind w:left="5760" w:hanging="360"/>
      </w:pPr>
    </w:lvl>
    <w:lvl w:ilvl="8" w:tplc="AD867524" w:tentative="1">
      <w:start w:val="1"/>
      <w:numFmt w:val="lowerRoman"/>
      <w:lvlText w:val="%9."/>
      <w:lvlJc w:val="right"/>
      <w:pPr>
        <w:ind w:left="6480" w:hanging="180"/>
      </w:pPr>
    </w:lvl>
  </w:abstractNum>
  <w:abstractNum w:abstractNumId="10" w15:restartNumberingAfterBreak="0">
    <w:nsid w:val="1F9B2AE8"/>
    <w:multiLevelType w:val="hybridMultilevel"/>
    <w:tmpl w:val="7FF8CCAE"/>
    <w:lvl w:ilvl="0" w:tplc="089C9008">
      <w:start w:val="1"/>
      <w:numFmt w:val="bullet"/>
      <w:lvlText w:val=""/>
      <w:lvlJc w:val="left"/>
      <w:pPr>
        <w:ind w:left="360" w:hanging="360"/>
      </w:pPr>
      <w:rPr>
        <w:rFonts w:ascii="Symbol" w:hAnsi="Symbol" w:hint="default"/>
      </w:rPr>
    </w:lvl>
    <w:lvl w:ilvl="1" w:tplc="0C44CDA2" w:tentative="1">
      <w:start w:val="1"/>
      <w:numFmt w:val="bullet"/>
      <w:lvlText w:val="o"/>
      <w:lvlJc w:val="left"/>
      <w:pPr>
        <w:ind w:left="1080" w:hanging="360"/>
      </w:pPr>
      <w:rPr>
        <w:rFonts w:ascii="Courier New" w:hAnsi="Courier New" w:cs="Courier New" w:hint="default"/>
      </w:rPr>
    </w:lvl>
    <w:lvl w:ilvl="2" w:tplc="77603B4E" w:tentative="1">
      <w:start w:val="1"/>
      <w:numFmt w:val="bullet"/>
      <w:lvlText w:val=""/>
      <w:lvlJc w:val="left"/>
      <w:pPr>
        <w:ind w:left="1800" w:hanging="360"/>
      </w:pPr>
      <w:rPr>
        <w:rFonts w:ascii="Wingdings" w:hAnsi="Wingdings" w:hint="default"/>
      </w:rPr>
    </w:lvl>
    <w:lvl w:ilvl="3" w:tplc="77F470C4" w:tentative="1">
      <w:start w:val="1"/>
      <w:numFmt w:val="bullet"/>
      <w:lvlText w:val=""/>
      <w:lvlJc w:val="left"/>
      <w:pPr>
        <w:ind w:left="2520" w:hanging="360"/>
      </w:pPr>
      <w:rPr>
        <w:rFonts w:ascii="Symbol" w:hAnsi="Symbol" w:hint="default"/>
      </w:rPr>
    </w:lvl>
    <w:lvl w:ilvl="4" w:tplc="B2144C6A" w:tentative="1">
      <w:start w:val="1"/>
      <w:numFmt w:val="bullet"/>
      <w:lvlText w:val="o"/>
      <w:lvlJc w:val="left"/>
      <w:pPr>
        <w:ind w:left="3240" w:hanging="360"/>
      </w:pPr>
      <w:rPr>
        <w:rFonts w:ascii="Courier New" w:hAnsi="Courier New" w:cs="Courier New" w:hint="default"/>
      </w:rPr>
    </w:lvl>
    <w:lvl w:ilvl="5" w:tplc="E4B46092" w:tentative="1">
      <w:start w:val="1"/>
      <w:numFmt w:val="bullet"/>
      <w:lvlText w:val=""/>
      <w:lvlJc w:val="left"/>
      <w:pPr>
        <w:ind w:left="3960" w:hanging="360"/>
      </w:pPr>
      <w:rPr>
        <w:rFonts w:ascii="Wingdings" w:hAnsi="Wingdings" w:hint="default"/>
      </w:rPr>
    </w:lvl>
    <w:lvl w:ilvl="6" w:tplc="20B41FA2" w:tentative="1">
      <w:start w:val="1"/>
      <w:numFmt w:val="bullet"/>
      <w:lvlText w:val=""/>
      <w:lvlJc w:val="left"/>
      <w:pPr>
        <w:ind w:left="4680" w:hanging="360"/>
      </w:pPr>
      <w:rPr>
        <w:rFonts w:ascii="Symbol" w:hAnsi="Symbol" w:hint="default"/>
      </w:rPr>
    </w:lvl>
    <w:lvl w:ilvl="7" w:tplc="E774D6CE" w:tentative="1">
      <w:start w:val="1"/>
      <w:numFmt w:val="bullet"/>
      <w:lvlText w:val="o"/>
      <w:lvlJc w:val="left"/>
      <w:pPr>
        <w:ind w:left="5400" w:hanging="360"/>
      </w:pPr>
      <w:rPr>
        <w:rFonts w:ascii="Courier New" w:hAnsi="Courier New" w:cs="Courier New" w:hint="default"/>
      </w:rPr>
    </w:lvl>
    <w:lvl w:ilvl="8" w:tplc="143459FE" w:tentative="1">
      <w:start w:val="1"/>
      <w:numFmt w:val="bullet"/>
      <w:lvlText w:val=""/>
      <w:lvlJc w:val="left"/>
      <w:pPr>
        <w:ind w:left="6120" w:hanging="360"/>
      </w:pPr>
      <w:rPr>
        <w:rFonts w:ascii="Wingdings" w:hAnsi="Wingdings" w:hint="default"/>
      </w:rPr>
    </w:lvl>
  </w:abstractNum>
  <w:abstractNum w:abstractNumId="11" w15:restartNumberingAfterBreak="0">
    <w:nsid w:val="20A64523"/>
    <w:multiLevelType w:val="multilevel"/>
    <w:tmpl w:val="2C3E9C90"/>
    <w:lvl w:ilvl="0">
      <w:start w:val="3"/>
      <w:numFmt w:val="decimal"/>
      <w:lvlText w:val="%1"/>
      <w:lvlJc w:val="left"/>
      <w:pPr>
        <w:ind w:left="525" w:hanging="525"/>
      </w:pPr>
      <w:rPr>
        <w:rFonts w:hint="default"/>
        <w:b/>
      </w:rPr>
    </w:lvl>
    <w:lvl w:ilvl="1">
      <w:start w:val="1"/>
      <w:numFmt w:val="decimal"/>
      <w:lvlText w:val="%1.%2"/>
      <w:lvlJc w:val="left"/>
      <w:pPr>
        <w:ind w:left="808" w:hanging="525"/>
      </w:pPr>
      <w:rPr>
        <w:rFonts w:hint="default"/>
        <w:b/>
      </w:rPr>
    </w:lvl>
    <w:lvl w:ilvl="2">
      <w:start w:val="3"/>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064" w:hanging="1800"/>
      </w:pPr>
      <w:rPr>
        <w:rFonts w:hint="default"/>
        <w:b/>
      </w:rPr>
    </w:lvl>
  </w:abstractNum>
  <w:abstractNum w:abstractNumId="12" w15:restartNumberingAfterBreak="0">
    <w:nsid w:val="26F41E5A"/>
    <w:multiLevelType w:val="hybridMultilevel"/>
    <w:tmpl w:val="5C0E209C"/>
    <w:lvl w:ilvl="0" w:tplc="26DC2F14">
      <w:start w:val="1"/>
      <w:numFmt w:val="decimal"/>
      <w:pStyle w:val="NumberedParagraphs"/>
      <w:lvlText w:val="%1."/>
      <w:lvlJc w:val="left"/>
      <w:pPr>
        <w:ind w:left="717" w:hanging="360"/>
      </w:pPr>
      <w:rPr>
        <w:rFonts w:hint="default"/>
        <w:color w:val="ED7D31" w:themeColor="accent2"/>
      </w:rPr>
    </w:lvl>
    <w:lvl w:ilvl="1" w:tplc="625A91C0" w:tentative="1">
      <w:start w:val="1"/>
      <w:numFmt w:val="lowerLetter"/>
      <w:lvlText w:val="%2."/>
      <w:lvlJc w:val="left"/>
      <w:pPr>
        <w:ind w:left="1440" w:hanging="360"/>
      </w:pPr>
    </w:lvl>
    <w:lvl w:ilvl="2" w:tplc="0AC22616" w:tentative="1">
      <w:start w:val="1"/>
      <w:numFmt w:val="lowerRoman"/>
      <w:lvlText w:val="%3."/>
      <w:lvlJc w:val="right"/>
      <w:pPr>
        <w:ind w:left="2160" w:hanging="180"/>
      </w:pPr>
    </w:lvl>
    <w:lvl w:ilvl="3" w:tplc="87C64964" w:tentative="1">
      <w:start w:val="1"/>
      <w:numFmt w:val="decimal"/>
      <w:lvlText w:val="%4."/>
      <w:lvlJc w:val="left"/>
      <w:pPr>
        <w:ind w:left="2880" w:hanging="360"/>
      </w:pPr>
    </w:lvl>
    <w:lvl w:ilvl="4" w:tplc="F050B8D2" w:tentative="1">
      <w:start w:val="1"/>
      <w:numFmt w:val="lowerLetter"/>
      <w:lvlText w:val="%5."/>
      <w:lvlJc w:val="left"/>
      <w:pPr>
        <w:ind w:left="3600" w:hanging="360"/>
      </w:pPr>
    </w:lvl>
    <w:lvl w:ilvl="5" w:tplc="C6C064CC" w:tentative="1">
      <w:start w:val="1"/>
      <w:numFmt w:val="lowerRoman"/>
      <w:lvlText w:val="%6."/>
      <w:lvlJc w:val="right"/>
      <w:pPr>
        <w:ind w:left="4320" w:hanging="180"/>
      </w:pPr>
    </w:lvl>
    <w:lvl w:ilvl="6" w:tplc="5D3E72CA" w:tentative="1">
      <w:start w:val="1"/>
      <w:numFmt w:val="decimal"/>
      <w:lvlText w:val="%7."/>
      <w:lvlJc w:val="left"/>
      <w:pPr>
        <w:ind w:left="5040" w:hanging="360"/>
      </w:pPr>
    </w:lvl>
    <w:lvl w:ilvl="7" w:tplc="32567C16" w:tentative="1">
      <w:start w:val="1"/>
      <w:numFmt w:val="lowerLetter"/>
      <w:lvlText w:val="%8."/>
      <w:lvlJc w:val="left"/>
      <w:pPr>
        <w:ind w:left="5760" w:hanging="360"/>
      </w:pPr>
    </w:lvl>
    <w:lvl w:ilvl="8" w:tplc="D88AA1FA" w:tentative="1">
      <w:start w:val="1"/>
      <w:numFmt w:val="lowerRoman"/>
      <w:lvlText w:val="%9."/>
      <w:lvlJc w:val="right"/>
      <w:pPr>
        <w:ind w:left="6480" w:hanging="180"/>
      </w:pPr>
    </w:lvl>
  </w:abstractNum>
  <w:abstractNum w:abstractNumId="13" w15:restartNumberingAfterBreak="0">
    <w:nsid w:val="271751BB"/>
    <w:multiLevelType w:val="multilevel"/>
    <w:tmpl w:val="6E9E1C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BBA3536"/>
    <w:multiLevelType w:val="hybridMultilevel"/>
    <w:tmpl w:val="207EF130"/>
    <w:lvl w:ilvl="0" w:tplc="DCB81488">
      <w:start w:val="1"/>
      <w:numFmt w:val="bullet"/>
      <w:lvlText w:val=""/>
      <w:lvlJc w:val="left"/>
      <w:pPr>
        <w:ind w:left="720" w:hanging="360"/>
      </w:pPr>
      <w:rPr>
        <w:rFonts w:ascii="Symbol" w:hAnsi="Symbol" w:hint="default"/>
      </w:rPr>
    </w:lvl>
    <w:lvl w:ilvl="1" w:tplc="E4727E2E" w:tentative="1">
      <w:start w:val="1"/>
      <w:numFmt w:val="bullet"/>
      <w:lvlText w:val="o"/>
      <w:lvlJc w:val="left"/>
      <w:pPr>
        <w:ind w:left="1440" w:hanging="360"/>
      </w:pPr>
      <w:rPr>
        <w:rFonts w:ascii="Courier New" w:hAnsi="Courier New" w:cs="Courier New" w:hint="default"/>
      </w:rPr>
    </w:lvl>
    <w:lvl w:ilvl="2" w:tplc="4FA4984C" w:tentative="1">
      <w:start w:val="1"/>
      <w:numFmt w:val="bullet"/>
      <w:lvlText w:val=""/>
      <w:lvlJc w:val="left"/>
      <w:pPr>
        <w:ind w:left="2160" w:hanging="360"/>
      </w:pPr>
      <w:rPr>
        <w:rFonts w:ascii="Wingdings" w:hAnsi="Wingdings" w:hint="default"/>
      </w:rPr>
    </w:lvl>
    <w:lvl w:ilvl="3" w:tplc="201C5B2E" w:tentative="1">
      <w:start w:val="1"/>
      <w:numFmt w:val="bullet"/>
      <w:lvlText w:val=""/>
      <w:lvlJc w:val="left"/>
      <w:pPr>
        <w:ind w:left="2880" w:hanging="360"/>
      </w:pPr>
      <w:rPr>
        <w:rFonts w:ascii="Symbol" w:hAnsi="Symbol" w:hint="default"/>
      </w:rPr>
    </w:lvl>
    <w:lvl w:ilvl="4" w:tplc="80DE359A" w:tentative="1">
      <w:start w:val="1"/>
      <w:numFmt w:val="bullet"/>
      <w:lvlText w:val="o"/>
      <w:lvlJc w:val="left"/>
      <w:pPr>
        <w:ind w:left="3600" w:hanging="360"/>
      </w:pPr>
      <w:rPr>
        <w:rFonts w:ascii="Courier New" w:hAnsi="Courier New" w:cs="Courier New" w:hint="default"/>
      </w:rPr>
    </w:lvl>
    <w:lvl w:ilvl="5" w:tplc="D988BD04" w:tentative="1">
      <w:start w:val="1"/>
      <w:numFmt w:val="bullet"/>
      <w:lvlText w:val=""/>
      <w:lvlJc w:val="left"/>
      <w:pPr>
        <w:ind w:left="4320" w:hanging="360"/>
      </w:pPr>
      <w:rPr>
        <w:rFonts w:ascii="Wingdings" w:hAnsi="Wingdings" w:hint="default"/>
      </w:rPr>
    </w:lvl>
    <w:lvl w:ilvl="6" w:tplc="FB2EA362" w:tentative="1">
      <w:start w:val="1"/>
      <w:numFmt w:val="bullet"/>
      <w:lvlText w:val=""/>
      <w:lvlJc w:val="left"/>
      <w:pPr>
        <w:ind w:left="5040" w:hanging="360"/>
      </w:pPr>
      <w:rPr>
        <w:rFonts w:ascii="Symbol" w:hAnsi="Symbol" w:hint="default"/>
      </w:rPr>
    </w:lvl>
    <w:lvl w:ilvl="7" w:tplc="660EADE4" w:tentative="1">
      <w:start w:val="1"/>
      <w:numFmt w:val="bullet"/>
      <w:lvlText w:val="o"/>
      <w:lvlJc w:val="left"/>
      <w:pPr>
        <w:ind w:left="5760" w:hanging="360"/>
      </w:pPr>
      <w:rPr>
        <w:rFonts w:ascii="Courier New" w:hAnsi="Courier New" w:cs="Courier New" w:hint="default"/>
      </w:rPr>
    </w:lvl>
    <w:lvl w:ilvl="8" w:tplc="8112F41C" w:tentative="1">
      <w:start w:val="1"/>
      <w:numFmt w:val="bullet"/>
      <w:lvlText w:val=""/>
      <w:lvlJc w:val="left"/>
      <w:pPr>
        <w:ind w:left="6480" w:hanging="360"/>
      </w:pPr>
      <w:rPr>
        <w:rFonts w:ascii="Wingdings" w:hAnsi="Wingdings" w:hint="default"/>
      </w:rPr>
    </w:lvl>
  </w:abstractNum>
  <w:abstractNum w:abstractNumId="15" w15:restartNumberingAfterBreak="0">
    <w:nsid w:val="31AD03FF"/>
    <w:multiLevelType w:val="hybridMultilevel"/>
    <w:tmpl w:val="E6A87BE0"/>
    <w:lvl w:ilvl="0" w:tplc="8C3A0202">
      <w:start w:val="1"/>
      <w:numFmt w:val="bullet"/>
      <w:lvlText w:val=""/>
      <w:lvlJc w:val="left"/>
      <w:pPr>
        <w:ind w:left="360" w:hanging="360"/>
      </w:pPr>
      <w:rPr>
        <w:rFonts w:ascii="Symbol" w:hAnsi="Symbol" w:hint="default"/>
      </w:rPr>
    </w:lvl>
    <w:lvl w:ilvl="1" w:tplc="469E74F6" w:tentative="1">
      <w:start w:val="1"/>
      <w:numFmt w:val="bullet"/>
      <w:lvlText w:val="o"/>
      <w:lvlJc w:val="left"/>
      <w:pPr>
        <w:ind w:left="1080" w:hanging="360"/>
      </w:pPr>
      <w:rPr>
        <w:rFonts w:ascii="Courier New" w:hAnsi="Courier New" w:cs="Courier New" w:hint="default"/>
      </w:rPr>
    </w:lvl>
    <w:lvl w:ilvl="2" w:tplc="85904A14" w:tentative="1">
      <w:start w:val="1"/>
      <w:numFmt w:val="bullet"/>
      <w:lvlText w:val=""/>
      <w:lvlJc w:val="left"/>
      <w:pPr>
        <w:ind w:left="1800" w:hanging="360"/>
      </w:pPr>
      <w:rPr>
        <w:rFonts w:ascii="Wingdings" w:hAnsi="Wingdings" w:hint="default"/>
      </w:rPr>
    </w:lvl>
    <w:lvl w:ilvl="3" w:tplc="39FCEF02" w:tentative="1">
      <w:start w:val="1"/>
      <w:numFmt w:val="bullet"/>
      <w:lvlText w:val=""/>
      <w:lvlJc w:val="left"/>
      <w:pPr>
        <w:ind w:left="2520" w:hanging="360"/>
      </w:pPr>
      <w:rPr>
        <w:rFonts w:ascii="Symbol" w:hAnsi="Symbol" w:hint="default"/>
      </w:rPr>
    </w:lvl>
    <w:lvl w:ilvl="4" w:tplc="DE5CEBDE" w:tentative="1">
      <w:start w:val="1"/>
      <w:numFmt w:val="bullet"/>
      <w:lvlText w:val="o"/>
      <w:lvlJc w:val="left"/>
      <w:pPr>
        <w:ind w:left="3240" w:hanging="360"/>
      </w:pPr>
      <w:rPr>
        <w:rFonts w:ascii="Courier New" w:hAnsi="Courier New" w:cs="Courier New" w:hint="default"/>
      </w:rPr>
    </w:lvl>
    <w:lvl w:ilvl="5" w:tplc="62CECF04" w:tentative="1">
      <w:start w:val="1"/>
      <w:numFmt w:val="bullet"/>
      <w:lvlText w:val=""/>
      <w:lvlJc w:val="left"/>
      <w:pPr>
        <w:ind w:left="3960" w:hanging="360"/>
      </w:pPr>
      <w:rPr>
        <w:rFonts w:ascii="Wingdings" w:hAnsi="Wingdings" w:hint="default"/>
      </w:rPr>
    </w:lvl>
    <w:lvl w:ilvl="6" w:tplc="4FB41778" w:tentative="1">
      <w:start w:val="1"/>
      <w:numFmt w:val="bullet"/>
      <w:lvlText w:val=""/>
      <w:lvlJc w:val="left"/>
      <w:pPr>
        <w:ind w:left="4680" w:hanging="360"/>
      </w:pPr>
      <w:rPr>
        <w:rFonts w:ascii="Symbol" w:hAnsi="Symbol" w:hint="default"/>
      </w:rPr>
    </w:lvl>
    <w:lvl w:ilvl="7" w:tplc="BA22361A" w:tentative="1">
      <w:start w:val="1"/>
      <w:numFmt w:val="bullet"/>
      <w:lvlText w:val="o"/>
      <w:lvlJc w:val="left"/>
      <w:pPr>
        <w:ind w:left="5400" w:hanging="360"/>
      </w:pPr>
      <w:rPr>
        <w:rFonts w:ascii="Courier New" w:hAnsi="Courier New" w:cs="Courier New" w:hint="default"/>
      </w:rPr>
    </w:lvl>
    <w:lvl w:ilvl="8" w:tplc="D9F29F5C" w:tentative="1">
      <w:start w:val="1"/>
      <w:numFmt w:val="bullet"/>
      <w:lvlText w:val=""/>
      <w:lvlJc w:val="left"/>
      <w:pPr>
        <w:ind w:left="6120" w:hanging="360"/>
      </w:pPr>
      <w:rPr>
        <w:rFonts w:ascii="Wingdings" w:hAnsi="Wingdings" w:hint="default"/>
      </w:rPr>
    </w:lvl>
  </w:abstractNum>
  <w:abstractNum w:abstractNumId="16" w15:restartNumberingAfterBreak="0">
    <w:nsid w:val="32036496"/>
    <w:multiLevelType w:val="hybridMultilevel"/>
    <w:tmpl w:val="170EC018"/>
    <w:lvl w:ilvl="0" w:tplc="BC604D7A">
      <w:start w:val="1"/>
      <w:numFmt w:val="bullet"/>
      <w:pStyle w:val="BulletsLevel1"/>
      <w:lvlText w:val=""/>
      <w:lvlJc w:val="left"/>
      <w:pPr>
        <w:ind w:left="717" w:hanging="360"/>
      </w:pPr>
      <w:rPr>
        <w:rFonts w:ascii="Symbol" w:hAnsi="Symbol" w:hint="default"/>
        <w:b w:val="0"/>
        <w:i w:val="0"/>
        <w:caps w:val="0"/>
        <w:vanish w:val="0"/>
        <w:color w:val="ED7D31" w:themeColor="accent2"/>
        <w:sz w:val="20"/>
      </w:rPr>
    </w:lvl>
    <w:lvl w:ilvl="1" w:tplc="CBFE7C0C" w:tentative="1">
      <w:start w:val="1"/>
      <w:numFmt w:val="bullet"/>
      <w:lvlText w:val="o"/>
      <w:lvlJc w:val="left"/>
      <w:pPr>
        <w:ind w:left="1440" w:hanging="360"/>
      </w:pPr>
      <w:rPr>
        <w:rFonts w:ascii="Courier New" w:hAnsi="Courier New" w:cs="Courier New" w:hint="default"/>
      </w:rPr>
    </w:lvl>
    <w:lvl w:ilvl="2" w:tplc="7B501F2C" w:tentative="1">
      <w:start w:val="1"/>
      <w:numFmt w:val="bullet"/>
      <w:lvlText w:val=""/>
      <w:lvlJc w:val="left"/>
      <w:pPr>
        <w:ind w:left="2160" w:hanging="360"/>
      </w:pPr>
      <w:rPr>
        <w:rFonts w:ascii="Wingdings" w:hAnsi="Wingdings" w:hint="default"/>
      </w:rPr>
    </w:lvl>
    <w:lvl w:ilvl="3" w:tplc="6360C6C4" w:tentative="1">
      <w:start w:val="1"/>
      <w:numFmt w:val="bullet"/>
      <w:lvlText w:val=""/>
      <w:lvlJc w:val="left"/>
      <w:pPr>
        <w:ind w:left="2880" w:hanging="360"/>
      </w:pPr>
      <w:rPr>
        <w:rFonts w:ascii="Symbol" w:hAnsi="Symbol" w:hint="default"/>
      </w:rPr>
    </w:lvl>
    <w:lvl w:ilvl="4" w:tplc="EA9ADC92" w:tentative="1">
      <w:start w:val="1"/>
      <w:numFmt w:val="bullet"/>
      <w:lvlText w:val="o"/>
      <w:lvlJc w:val="left"/>
      <w:pPr>
        <w:ind w:left="3600" w:hanging="360"/>
      </w:pPr>
      <w:rPr>
        <w:rFonts w:ascii="Courier New" w:hAnsi="Courier New" w:cs="Courier New" w:hint="default"/>
      </w:rPr>
    </w:lvl>
    <w:lvl w:ilvl="5" w:tplc="4664D348" w:tentative="1">
      <w:start w:val="1"/>
      <w:numFmt w:val="bullet"/>
      <w:lvlText w:val=""/>
      <w:lvlJc w:val="left"/>
      <w:pPr>
        <w:ind w:left="4320" w:hanging="360"/>
      </w:pPr>
      <w:rPr>
        <w:rFonts w:ascii="Wingdings" w:hAnsi="Wingdings" w:hint="default"/>
      </w:rPr>
    </w:lvl>
    <w:lvl w:ilvl="6" w:tplc="0EF06BB6" w:tentative="1">
      <w:start w:val="1"/>
      <w:numFmt w:val="bullet"/>
      <w:lvlText w:val=""/>
      <w:lvlJc w:val="left"/>
      <w:pPr>
        <w:ind w:left="5040" w:hanging="360"/>
      </w:pPr>
      <w:rPr>
        <w:rFonts w:ascii="Symbol" w:hAnsi="Symbol" w:hint="default"/>
      </w:rPr>
    </w:lvl>
    <w:lvl w:ilvl="7" w:tplc="C6345AE2" w:tentative="1">
      <w:start w:val="1"/>
      <w:numFmt w:val="bullet"/>
      <w:lvlText w:val="o"/>
      <w:lvlJc w:val="left"/>
      <w:pPr>
        <w:ind w:left="5760" w:hanging="360"/>
      </w:pPr>
      <w:rPr>
        <w:rFonts w:ascii="Courier New" w:hAnsi="Courier New" w:cs="Courier New" w:hint="default"/>
      </w:rPr>
    </w:lvl>
    <w:lvl w:ilvl="8" w:tplc="EEEE9F8A" w:tentative="1">
      <w:start w:val="1"/>
      <w:numFmt w:val="bullet"/>
      <w:lvlText w:val=""/>
      <w:lvlJc w:val="left"/>
      <w:pPr>
        <w:ind w:left="6480" w:hanging="360"/>
      </w:pPr>
      <w:rPr>
        <w:rFonts w:ascii="Wingdings" w:hAnsi="Wingdings" w:hint="default"/>
      </w:rPr>
    </w:lvl>
  </w:abstractNum>
  <w:abstractNum w:abstractNumId="17" w15:restartNumberingAfterBreak="0">
    <w:nsid w:val="322A4331"/>
    <w:multiLevelType w:val="multilevel"/>
    <w:tmpl w:val="9558CE62"/>
    <w:lvl w:ilvl="0">
      <w:start w:val="1"/>
      <w:numFmt w:val="decimal"/>
      <w:lvlText w:val="%1."/>
      <w:lvlJc w:val="left"/>
      <w:pPr>
        <w:tabs>
          <w:tab w:val="num" w:pos="862"/>
        </w:tabs>
        <w:ind w:left="862"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32DC4E50"/>
    <w:multiLevelType w:val="hybridMultilevel"/>
    <w:tmpl w:val="2D6CD8A6"/>
    <w:lvl w:ilvl="0" w:tplc="2D2E922C">
      <w:start w:val="1"/>
      <w:numFmt w:val="decimal"/>
      <w:lvlText w:val="%1."/>
      <w:lvlJc w:val="left"/>
      <w:pPr>
        <w:ind w:left="720" w:hanging="360"/>
      </w:pPr>
      <w:rPr>
        <w:rFonts w:ascii="Arial" w:hAnsi="Arial" w:hint="default"/>
        <w:sz w:val="24"/>
      </w:rPr>
    </w:lvl>
    <w:lvl w:ilvl="1" w:tplc="076AD392" w:tentative="1">
      <w:start w:val="1"/>
      <w:numFmt w:val="bullet"/>
      <w:lvlText w:val="o"/>
      <w:lvlJc w:val="left"/>
      <w:pPr>
        <w:ind w:left="1440" w:hanging="360"/>
      </w:pPr>
      <w:rPr>
        <w:rFonts w:ascii="Courier New" w:hAnsi="Courier New" w:cs="Courier New" w:hint="default"/>
      </w:rPr>
    </w:lvl>
    <w:lvl w:ilvl="2" w:tplc="3C14293A" w:tentative="1">
      <w:start w:val="1"/>
      <w:numFmt w:val="bullet"/>
      <w:lvlText w:val=""/>
      <w:lvlJc w:val="left"/>
      <w:pPr>
        <w:ind w:left="2160" w:hanging="360"/>
      </w:pPr>
      <w:rPr>
        <w:rFonts w:ascii="Wingdings" w:hAnsi="Wingdings" w:hint="default"/>
      </w:rPr>
    </w:lvl>
    <w:lvl w:ilvl="3" w:tplc="EC841894" w:tentative="1">
      <w:start w:val="1"/>
      <w:numFmt w:val="bullet"/>
      <w:lvlText w:val=""/>
      <w:lvlJc w:val="left"/>
      <w:pPr>
        <w:ind w:left="2880" w:hanging="360"/>
      </w:pPr>
      <w:rPr>
        <w:rFonts w:ascii="Symbol" w:hAnsi="Symbol" w:hint="default"/>
      </w:rPr>
    </w:lvl>
    <w:lvl w:ilvl="4" w:tplc="37F03E82" w:tentative="1">
      <w:start w:val="1"/>
      <w:numFmt w:val="bullet"/>
      <w:lvlText w:val="o"/>
      <w:lvlJc w:val="left"/>
      <w:pPr>
        <w:ind w:left="3600" w:hanging="360"/>
      </w:pPr>
      <w:rPr>
        <w:rFonts w:ascii="Courier New" w:hAnsi="Courier New" w:cs="Courier New" w:hint="default"/>
      </w:rPr>
    </w:lvl>
    <w:lvl w:ilvl="5" w:tplc="6644976C" w:tentative="1">
      <w:start w:val="1"/>
      <w:numFmt w:val="bullet"/>
      <w:lvlText w:val=""/>
      <w:lvlJc w:val="left"/>
      <w:pPr>
        <w:ind w:left="4320" w:hanging="360"/>
      </w:pPr>
      <w:rPr>
        <w:rFonts w:ascii="Wingdings" w:hAnsi="Wingdings" w:hint="default"/>
      </w:rPr>
    </w:lvl>
    <w:lvl w:ilvl="6" w:tplc="7E0865D6" w:tentative="1">
      <w:start w:val="1"/>
      <w:numFmt w:val="bullet"/>
      <w:lvlText w:val=""/>
      <w:lvlJc w:val="left"/>
      <w:pPr>
        <w:ind w:left="5040" w:hanging="360"/>
      </w:pPr>
      <w:rPr>
        <w:rFonts w:ascii="Symbol" w:hAnsi="Symbol" w:hint="default"/>
      </w:rPr>
    </w:lvl>
    <w:lvl w:ilvl="7" w:tplc="2E1E91AE" w:tentative="1">
      <w:start w:val="1"/>
      <w:numFmt w:val="bullet"/>
      <w:lvlText w:val="o"/>
      <w:lvlJc w:val="left"/>
      <w:pPr>
        <w:ind w:left="5760" w:hanging="360"/>
      </w:pPr>
      <w:rPr>
        <w:rFonts w:ascii="Courier New" w:hAnsi="Courier New" w:cs="Courier New" w:hint="default"/>
      </w:rPr>
    </w:lvl>
    <w:lvl w:ilvl="8" w:tplc="64101F2E" w:tentative="1">
      <w:start w:val="1"/>
      <w:numFmt w:val="bullet"/>
      <w:lvlText w:val=""/>
      <w:lvlJc w:val="left"/>
      <w:pPr>
        <w:ind w:left="6480" w:hanging="360"/>
      </w:pPr>
      <w:rPr>
        <w:rFonts w:ascii="Wingdings" w:hAnsi="Wingdings" w:hint="default"/>
      </w:rPr>
    </w:lvl>
  </w:abstractNum>
  <w:abstractNum w:abstractNumId="19" w15:restartNumberingAfterBreak="0">
    <w:nsid w:val="32DE378D"/>
    <w:multiLevelType w:val="hybridMultilevel"/>
    <w:tmpl w:val="669255CA"/>
    <w:lvl w:ilvl="0" w:tplc="6B3AEE10">
      <w:start w:val="1"/>
      <w:numFmt w:val="bullet"/>
      <w:pStyle w:val="Bullet"/>
      <w:lvlText w:val=""/>
      <w:lvlJc w:val="left"/>
      <w:pPr>
        <w:ind w:left="363" w:hanging="360"/>
      </w:pPr>
      <w:rPr>
        <w:rFonts w:ascii="Symbol" w:hAnsi="Symbol" w:hint="default"/>
      </w:rPr>
    </w:lvl>
    <w:lvl w:ilvl="1" w:tplc="5D8C4EAE">
      <w:start w:val="1"/>
      <w:numFmt w:val="bullet"/>
      <w:pStyle w:val="Bullet-indent"/>
      <w:lvlText w:val="o"/>
      <w:lvlJc w:val="left"/>
      <w:pPr>
        <w:ind w:left="1083" w:hanging="360"/>
      </w:pPr>
      <w:rPr>
        <w:rFonts w:ascii="Courier New" w:hAnsi="Courier New" w:cs="Courier New" w:hint="default"/>
      </w:rPr>
    </w:lvl>
    <w:lvl w:ilvl="2" w:tplc="CD142C30" w:tentative="1">
      <w:start w:val="1"/>
      <w:numFmt w:val="bullet"/>
      <w:lvlText w:val=""/>
      <w:lvlJc w:val="left"/>
      <w:pPr>
        <w:ind w:left="1803" w:hanging="360"/>
      </w:pPr>
      <w:rPr>
        <w:rFonts w:ascii="Wingdings" w:hAnsi="Wingdings" w:hint="default"/>
      </w:rPr>
    </w:lvl>
    <w:lvl w:ilvl="3" w:tplc="78C8EB9C" w:tentative="1">
      <w:start w:val="1"/>
      <w:numFmt w:val="bullet"/>
      <w:lvlText w:val=""/>
      <w:lvlJc w:val="left"/>
      <w:pPr>
        <w:ind w:left="2523" w:hanging="360"/>
      </w:pPr>
      <w:rPr>
        <w:rFonts w:ascii="Symbol" w:hAnsi="Symbol" w:hint="default"/>
      </w:rPr>
    </w:lvl>
    <w:lvl w:ilvl="4" w:tplc="3CEEE57E" w:tentative="1">
      <w:start w:val="1"/>
      <w:numFmt w:val="bullet"/>
      <w:lvlText w:val="o"/>
      <w:lvlJc w:val="left"/>
      <w:pPr>
        <w:ind w:left="3243" w:hanging="360"/>
      </w:pPr>
      <w:rPr>
        <w:rFonts w:ascii="Courier New" w:hAnsi="Courier New" w:cs="Courier New" w:hint="default"/>
      </w:rPr>
    </w:lvl>
    <w:lvl w:ilvl="5" w:tplc="D62A9440" w:tentative="1">
      <w:start w:val="1"/>
      <w:numFmt w:val="bullet"/>
      <w:lvlText w:val=""/>
      <w:lvlJc w:val="left"/>
      <w:pPr>
        <w:ind w:left="3963" w:hanging="360"/>
      </w:pPr>
      <w:rPr>
        <w:rFonts w:ascii="Wingdings" w:hAnsi="Wingdings" w:hint="default"/>
      </w:rPr>
    </w:lvl>
    <w:lvl w:ilvl="6" w:tplc="C750DCD6" w:tentative="1">
      <w:start w:val="1"/>
      <w:numFmt w:val="bullet"/>
      <w:lvlText w:val=""/>
      <w:lvlJc w:val="left"/>
      <w:pPr>
        <w:ind w:left="4683" w:hanging="360"/>
      </w:pPr>
      <w:rPr>
        <w:rFonts w:ascii="Symbol" w:hAnsi="Symbol" w:hint="default"/>
      </w:rPr>
    </w:lvl>
    <w:lvl w:ilvl="7" w:tplc="8320D966" w:tentative="1">
      <w:start w:val="1"/>
      <w:numFmt w:val="bullet"/>
      <w:lvlText w:val="o"/>
      <w:lvlJc w:val="left"/>
      <w:pPr>
        <w:ind w:left="5403" w:hanging="360"/>
      </w:pPr>
      <w:rPr>
        <w:rFonts w:ascii="Courier New" w:hAnsi="Courier New" w:cs="Courier New" w:hint="default"/>
      </w:rPr>
    </w:lvl>
    <w:lvl w:ilvl="8" w:tplc="C7D26A4A" w:tentative="1">
      <w:start w:val="1"/>
      <w:numFmt w:val="bullet"/>
      <w:lvlText w:val=""/>
      <w:lvlJc w:val="left"/>
      <w:pPr>
        <w:ind w:left="6123" w:hanging="360"/>
      </w:pPr>
      <w:rPr>
        <w:rFonts w:ascii="Wingdings" w:hAnsi="Wingdings" w:hint="default"/>
      </w:rPr>
    </w:lvl>
  </w:abstractNum>
  <w:abstractNum w:abstractNumId="20" w15:restartNumberingAfterBreak="0">
    <w:nsid w:val="3548495E"/>
    <w:multiLevelType w:val="hybridMultilevel"/>
    <w:tmpl w:val="653637EE"/>
    <w:lvl w:ilvl="0" w:tplc="5A061198">
      <w:start w:val="1"/>
      <w:numFmt w:val="bullet"/>
      <w:pStyle w:val="Bulletslevel2"/>
      <w:lvlText w:val=""/>
      <w:lvlJc w:val="left"/>
      <w:pPr>
        <w:ind w:left="1069" w:hanging="360"/>
      </w:pPr>
      <w:rPr>
        <w:rFonts w:ascii="Symbol" w:hAnsi="Symbol" w:hint="default"/>
        <w:b w:val="0"/>
        <w:i w:val="0"/>
        <w:caps w:val="0"/>
        <w:strike w:val="0"/>
        <w:dstrike w:val="0"/>
        <w:vanish w:val="0"/>
        <w:color w:val="ED7D31" w:themeColor="accent2"/>
        <w:sz w:val="20"/>
        <w:vertAlign w:val="baseline"/>
      </w:rPr>
    </w:lvl>
    <w:lvl w:ilvl="1" w:tplc="7A70BB06" w:tentative="1">
      <w:start w:val="1"/>
      <w:numFmt w:val="bullet"/>
      <w:lvlText w:val="o"/>
      <w:lvlJc w:val="left"/>
      <w:pPr>
        <w:ind w:left="1440" w:hanging="360"/>
      </w:pPr>
      <w:rPr>
        <w:rFonts w:ascii="Courier New" w:hAnsi="Courier New" w:cs="Courier New" w:hint="default"/>
      </w:rPr>
    </w:lvl>
    <w:lvl w:ilvl="2" w:tplc="7F94F336" w:tentative="1">
      <w:start w:val="1"/>
      <w:numFmt w:val="bullet"/>
      <w:lvlText w:val=""/>
      <w:lvlJc w:val="left"/>
      <w:pPr>
        <w:ind w:left="2160" w:hanging="360"/>
      </w:pPr>
      <w:rPr>
        <w:rFonts w:ascii="Wingdings" w:hAnsi="Wingdings" w:hint="default"/>
      </w:rPr>
    </w:lvl>
    <w:lvl w:ilvl="3" w:tplc="EBBAFEF0" w:tentative="1">
      <w:start w:val="1"/>
      <w:numFmt w:val="bullet"/>
      <w:lvlText w:val=""/>
      <w:lvlJc w:val="left"/>
      <w:pPr>
        <w:ind w:left="2880" w:hanging="360"/>
      </w:pPr>
      <w:rPr>
        <w:rFonts w:ascii="Symbol" w:hAnsi="Symbol" w:hint="default"/>
      </w:rPr>
    </w:lvl>
    <w:lvl w:ilvl="4" w:tplc="0A3C0048" w:tentative="1">
      <w:start w:val="1"/>
      <w:numFmt w:val="bullet"/>
      <w:lvlText w:val="o"/>
      <w:lvlJc w:val="left"/>
      <w:pPr>
        <w:ind w:left="3600" w:hanging="360"/>
      </w:pPr>
      <w:rPr>
        <w:rFonts w:ascii="Courier New" w:hAnsi="Courier New" w:cs="Courier New" w:hint="default"/>
      </w:rPr>
    </w:lvl>
    <w:lvl w:ilvl="5" w:tplc="0FEC3F4A" w:tentative="1">
      <w:start w:val="1"/>
      <w:numFmt w:val="bullet"/>
      <w:lvlText w:val=""/>
      <w:lvlJc w:val="left"/>
      <w:pPr>
        <w:ind w:left="4320" w:hanging="360"/>
      </w:pPr>
      <w:rPr>
        <w:rFonts w:ascii="Wingdings" w:hAnsi="Wingdings" w:hint="default"/>
      </w:rPr>
    </w:lvl>
    <w:lvl w:ilvl="6" w:tplc="4AA04DE0" w:tentative="1">
      <w:start w:val="1"/>
      <w:numFmt w:val="bullet"/>
      <w:lvlText w:val=""/>
      <w:lvlJc w:val="left"/>
      <w:pPr>
        <w:ind w:left="5040" w:hanging="360"/>
      </w:pPr>
      <w:rPr>
        <w:rFonts w:ascii="Symbol" w:hAnsi="Symbol" w:hint="default"/>
      </w:rPr>
    </w:lvl>
    <w:lvl w:ilvl="7" w:tplc="F1C6B938" w:tentative="1">
      <w:start w:val="1"/>
      <w:numFmt w:val="bullet"/>
      <w:lvlText w:val="o"/>
      <w:lvlJc w:val="left"/>
      <w:pPr>
        <w:ind w:left="5760" w:hanging="360"/>
      </w:pPr>
      <w:rPr>
        <w:rFonts w:ascii="Courier New" w:hAnsi="Courier New" w:cs="Courier New" w:hint="default"/>
      </w:rPr>
    </w:lvl>
    <w:lvl w:ilvl="8" w:tplc="2D7EC7D0" w:tentative="1">
      <w:start w:val="1"/>
      <w:numFmt w:val="bullet"/>
      <w:lvlText w:val=""/>
      <w:lvlJc w:val="left"/>
      <w:pPr>
        <w:ind w:left="6480" w:hanging="360"/>
      </w:pPr>
      <w:rPr>
        <w:rFonts w:ascii="Wingdings" w:hAnsi="Wingdings" w:hint="default"/>
      </w:rPr>
    </w:lvl>
  </w:abstractNum>
  <w:abstractNum w:abstractNumId="21" w15:restartNumberingAfterBreak="0">
    <w:nsid w:val="37C36E02"/>
    <w:multiLevelType w:val="multilevel"/>
    <w:tmpl w:val="8DC42EE2"/>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ind w:left="3240" w:hanging="360"/>
      </w:pPr>
    </w:lvl>
  </w:abstractNum>
  <w:abstractNum w:abstractNumId="22" w15:restartNumberingAfterBreak="0">
    <w:nsid w:val="38E44637"/>
    <w:multiLevelType w:val="hybridMultilevel"/>
    <w:tmpl w:val="32427CD0"/>
    <w:lvl w:ilvl="0" w:tplc="2438D38C">
      <w:start w:val="1"/>
      <w:numFmt w:val="upperLetter"/>
      <w:lvlText w:val="%1."/>
      <w:lvlJc w:val="left"/>
      <w:pPr>
        <w:ind w:left="360" w:hanging="360"/>
      </w:pPr>
      <w:rPr>
        <w:rFonts w:hint="default"/>
        <w:b/>
      </w:rPr>
    </w:lvl>
    <w:lvl w:ilvl="1" w:tplc="37923574">
      <w:start w:val="1"/>
      <w:numFmt w:val="lowerLetter"/>
      <w:lvlText w:val="%2."/>
      <w:lvlJc w:val="left"/>
      <w:pPr>
        <w:ind w:left="1080" w:hanging="360"/>
      </w:pPr>
    </w:lvl>
    <w:lvl w:ilvl="2" w:tplc="FCBC79AC" w:tentative="1">
      <w:start w:val="1"/>
      <w:numFmt w:val="lowerRoman"/>
      <w:lvlText w:val="%3."/>
      <w:lvlJc w:val="right"/>
      <w:pPr>
        <w:ind w:left="1800" w:hanging="180"/>
      </w:pPr>
    </w:lvl>
    <w:lvl w:ilvl="3" w:tplc="5D9A6890" w:tentative="1">
      <w:start w:val="1"/>
      <w:numFmt w:val="decimal"/>
      <w:lvlText w:val="%4."/>
      <w:lvlJc w:val="left"/>
      <w:pPr>
        <w:ind w:left="2520" w:hanging="360"/>
      </w:pPr>
    </w:lvl>
    <w:lvl w:ilvl="4" w:tplc="D1EABF50" w:tentative="1">
      <w:start w:val="1"/>
      <w:numFmt w:val="lowerLetter"/>
      <w:lvlText w:val="%5."/>
      <w:lvlJc w:val="left"/>
      <w:pPr>
        <w:ind w:left="3240" w:hanging="360"/>
      </w:pPr>
    </w:lvl>
    <w:lvl w:ilvl="5" w:tplc="E9E45800" w:tentative="1">
      <w:start w:val="1"/>
      <w:numFmt w:val="lowerRoman"/>
      <w:lvlText w:val="%6."/>
      <w:lvlJc w:val="right"/>
      <w:pPr>
        <w:ind w:left="3960" w:hanging="180"/>
      </w:pPr>
    </w:lvl>
    <w:lvl w:ilvl="6" w:tplc="565C8A58" w:tentative="1">
      <w:start w:val="1"/>
      <w:numFmt w:val="decimal"/>
      <w:lvlText w:val="%7."/>
      <w:lvlJc w:val="left"/>
      <w:pPr>
        <w:ind w:left="4680" w:hanging="360"/>
      </w:pPr>
    </w:lvl>
    <w:lvl w:ilvl="7" w:tplc="C7CEB3B8" w:tentative="1">
      <w:start w:val="1"/>
      <w:numFmt w:val="lowerLetter"/>
      <w:lvlText w:val="%8."/>
      <w:lvlJc w:val="left"/>
      <w:pPr>
        <w:ind w:left="5400" w:hanging="360"/>
      </w:pPr>
    </w:lvl>
    <w:lvl w:ilvl="8" w:tplc="0DF4CDEC" w:tentative="1">
      <w:start w:val="1"/>
      <w:numFmt w:val="lowerRoman"/>
      <w:lvlText w:val="%9."/>
      <w:lvlJc w:val="right"/>
      <w:pPr>
        <w:ind w:left="6120" w:hanging="180"/>
      </w:pPr>
    </w:lvl>
  </w:abstractNum>
  <w:abstractNum w:abstractNumId="23" w15:restartNumberingAfterBreak="0">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OutlineNum2"/>
      <w:lvlText w:val="%1.%2"/>
      <w:lvlJc w:val="left"/>
      <w:pPr>
        <w:tabs>
          <w:tab w:val="num" w:pos="720"/>
        </w:tabs>
        <w:ind w:left="720" w:hanging="720"/>
      </w:pPr>
      <w:rPr>
        <w:rFonts w:ascii="Arial" w:hAnsi="Arial" w:hint="default"/>
        <w:b w:val="0"/>
        <w:i w:val="0"/>
        <w:sz w:val="22"/>
        <w:szCs w:val="22"/>
      </w:rPr>
    </w:lvl>
    <w:lvl w:ilvl="2">
      <w:start w:val="1"/>
      <w:numFmt w:val="decimal"/>
      <w:pStyle w:val="OutlineNum3"/>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11B5D08"/>
    <w:multiLevelType w:val="hybridMultilevel"/>
    <w:tmpl w:val="5D4470DC"/>
    <w:lvl w:ilvl="0" w:tplc="F112D348">
      <w:start w:val="1"/>
      <w:numFmt w:val="bullet"/>
      <w:lvlText w:val=""/>
      <w:lvlJc w:val="left"/>
      <w:pPr>
        <w:ind w:left="1353" w:hanging="360"/>
      </w:pPr>
      <w:rPr>
        <w:rFonts w:ascii="Symbol" w:hAnsi="Symbol" w:hint="default"/>
      </w:rPr>
    </w:lvl>
    <w:lvl w:ilvl="1" w:tplc="330CB1FA" w:tentative="1">
      <w:start w:val="1"/>
      <w:numFmt w:val="bullet"/>
      <w:lvlText w:val="o"/>
      <w:lvlJc w:val="left"/>
      <w:pPr>
        <w:ind w:left="1440" w:hanging="360"/>
      </w:pPr>
      <w:rPr>
        <w:rFonts w:ascii="Courier New" w:hAnsi="Courier New" w:cs="Courier New" w:hint="default"/>
      </w:rPr>
    </w:lvl>
    <w:lvl w:ilvl="2" w:tplc="6A7A35AC" w:tentative="1">
      <w:start w:val="1"/>
      <w:numFmt w:val="bullet"/>
      <w:lvlText w:val=""/>
      <w:lvlJc w:val="left"/>
      <w:pPr>
        <w:ind w:left="2160" w:hanging="360"/>
      </w:pPr>
      <w:rPr>
        <w:rFonts w:ascii="Wingdings" w:hAnsi="Wingdings" w:hint="default"/>
      </w:rPr>
    </w:lvl>
    <w:lvl w:ilvl="3" w:tplc="77268750" w:tentative="1">
      <w:start w:val="1"/>
      <w:numFmt w:val="bullet"/>
      <w:lvlText w:val=""/>
      <w:lvlJc w:val="left"/>
      <w:pPr>
        <w:ind w:left="2880" w:hanging="360"/>
      </w:pPr>
      <w:rPr>
        <w:rFonts w:ascii="Symbol" w:hAnsi="Symbol" w:hint="default"/>
      </w:rPr>
    </w:lvl>
    <w:lvl w:ilvl="4" w:tplc="7572196A" w:tentative="1">
      <w:start w:val="1"/>
      <w:numFmt w:val="bullet"/>
      <w:lvlText w:val="o"/>
      <w:lvlJc w:val="left"/>
      <w:pPr>
        <w:ind w:left="3600" w:hanging="360"/>
      </w:pPr>
      <w:rPr>
        <w:rFonts w:ascii="Courier New" w:hAnsi="Courier New" w:cs="Courier New" w:hint="default"/>
      </w:rPr>
    </w:lvl>
    <w:lvl w:ilvl="5" w:tplc="7990FD58" w:tentative="1">
      <w:start w:val="1"/>
      <w:numFmt w:val="bullet"/>
      <w:lvlText w:val=""/>
      <w:lvlJc w:val="left"/>
      <w:pPr>
        <w:ind w:left="4320" w:hanging="360"/>
      </w:pPr>
      <w:rPr>
        <w:rFonts w:ascii="Wingdings" w:hAnsi="Wingdings" w:hint="default"/>
      </w:rPr>
    </w:lvl>
    <w:lvl w:ilvl="6" w:tplc="A2EE24EC" w:tentative="1">
      <w:start w:val="1"/>
      <w:numFmt w:val="bullet"/>
      <w:lvlText w:val=""/>
      <w:lvlJc w:val="left"/>
      <w:pPr>
        <w:ind w:left="5040" w:hanging="360"/>
      </w:pPr>
      <w:rPr>
        <w:rFonts w:ascii="Symbol" w:hAnsi="Symbol" w:hint="default"/>
      </w:rPr>
    </w:lvl>
    <w:lvl w:ilvl="7" w:tplc="FF0AB4DC" w:tentative="1">
      <w:start w:val="1"/>
      <w:numFmt w:val="bullet"/>
      <w:lvlText w:val="o"/>
      <w:lvlJc w:val="left"/>
      <w:pPr>
        <w:ind w:left="5760" w:hanging="360"/>
      </w:pPr>
      <w:rPr>
        <w:rFonts w:ascii="Courier New" w:hAnsi="Courier New" w:cs="Courier New" w:hint="default"/>
      </w:rPr>
    </w:lvl>
    <w:lvl w:ilvl="8" w:tplc="D3AAB2E4" w:tentative="1">
      <w:start w:val="1"/>
      <w:numFmt w:val="bullet"/>
      <w:lvlText w:val=""/>
      <w:lvlJc w:val="left"/>
      <w:pPr>
        <w:ind w:left="6480" w:hanging="360"/>
      </w:pPr>
      <w:rPr>
        <w:rFonts w:ascii="Wingdings" w:hAnsi="Wingdings" w:hint="default"/>
      </w:rPr>
    </w:lvl>
  </w:abstractNum>
  <w:abstractNum w:abstractNumId="25" w15:restartNumberingAfterBreak="0">
    <w:nsid w:val="420860A3"/>
    <w:multiLevelType w:val="hybridMultilevel"/>
    <w:tmpl w:val="2DF6A548"/>
    <w:lvl w:ilvl="0" w:tplc="0BCAB06C">
      <w:start w:val="1"/>
      <w:numFmt w:val="decimal"/>
      <w:pStyle w:val="Heading2-numbered"/>
      <w:lvlText w:val="%1."/>
      <w:lvlJc w:val="left"/>
      <w:pPr>
        <w:ind w:left="360" w:hanging="360"/>
      </w:pPr>
    </w:lvl>
    <w:lvl w:ilvl="1" w:tplc="BC60636A" w:tentative="1">
      <w:start w:val="1"/>
      <w:numFmt w:val="lowerLetter"/>
      <w:lvlText w:val="%2."/>
      <w:lvlJc w:val="left"/>
      <w:pPr>
        <w:ind w:left="1080" w:hanging="360"/>
      </w:pPr>
    </w:lvl>
    <w:lvl w:ilvl="2" w:tplc="786C5364" w:tentative="1">
      <w:start w:val="1"/>
      <w:numFmt w:val="lowerRoman"/>
      <w:lvlText w:val="%3."/>
      <w:lvlJc w:val="right"/>
      <w:pPr>
        <w:ind w:left="1800" w:hanging="180"/>
      </w:pPr>
    </w:lvl>
    <w:lvl w:ilvl="3" w:tplc="B750EA92" w:tentative="1">
      <w:start w:val="1"/>
      <w:numFmt w:val="decimal"/>
      <w:lvlText w:val="%4."/>
      <w:lvlJc w:val="left"/>
      <w:pPr>
        <w:ind w:left="2520" w:hanging="360"/>
      </w:pPr>
    </w:lvl>
    <w:lvl w:ilvl="4" w:tplc="76982740" w:tentative="1">
      <w:start w:val="1"/>
      <w:numFmt w:val="lowerLetter"/>
      <w:lvlText w:val="%5."/>
      <w:lvlJc w:val="left"/>
      <w:pPr>
        <w:ind w:left="3240" w:hanging="360"/>
      </w:pPr>
    </w:lvl>
    <w:lvl w:ilvl="5" w:tplc="227AE90A" w:tentative="1">
      <w:start w:val="1"/>
      <w:numFmt w:val="lowerRoman"/>
      <w:lvlText w:val="%6."/>
      <w:lvlJc w:val="right"/>
      <w:pPr>
        <w:ind w:left="3960" w:hanging="180"/>
      </w:pPr>
    </w:lvl>
    <w:lvl w:ilvl="6" w:tplc="E49A9670" w:tentative="1">
      <w:start w:val="1"/>
      <w:numFmt w:val="decimal"/>
      <w:lvlText w:val="%7."/>
      <w:lvlJc w:val="left"/>
      <w:pPr>
        <w:ind w:left="4680" w:hanging="360"/>
      </w:pPr>
    </w:lvl>
    <w:lvl w:ilvl="7" w:tplc="D4426F36" w:tentative="1">
      <w:start w:val="1"/>
      <w:numFmt w:val="lowerLetter"/>
      <w:lvlText w:val="%8."/>
      <w:lvlJc w:val="left"/>
      <w:pPr>
        <w:ind w:left="5400" w:hanging="360"/>
      </w:pPr>
    </w:lvl>
    <w:lvl w:ilvl="8" w:tplc="F0D002CC" w:tentative="1">
      <w:start w:val="1"/>
      <w:numFmt w:val="lowerRoman"/>
      <w:lvlText w:val="%9."/>
      <w:lvlJc w:val="right"/>
      <w:pPr>
        <w:ind w:left="6120" w:hanging="180"/>
      </w:pPr>
    </w:lvl>
  </w:abstractNum>
  <w:abstractNum w:abstractNumId="26" w15:restartNumberingAfterBreak="0">
    <w:nsid w:val="422A0216"/>
    <w:multiLevelType w:val="multilevel"/>
    <w:tmpl w:val="5532F4C6"/>
    <w:name w:val="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bullet"/>
      <w:pStyle w:val="ListBullet"/>
      <w:lvlText w:val=""/>
      <w:lvlJc w:val="left"/>
      <w:pPr>
        <w:tabs>
          <w:tab w:val="num" w:pos="360"/>
        </w:tabs>
        <w:ind w:left="360" w:hanging="360"/>
      </w:pPr>
      <w:rPr>
        <w:rFonts w:ascii="Symbol" w:hAnsi="Symbol" w:hint="default"/>
        <w:sz w:val="22"/>
      </w:rPr>
    </w:lvl>
    <w:lvl w:ilvl="5">
      <w:start w:val="1"/>
      <w:numFmt w:val="lowerRoman"/>
      <w:pStyle w:val="ListBullet2"/>
      <w:lvlText w:val="─"/>
      <w:lvlJc w:val="left"/>
      <w:pPr>
        <w:tabs>
          <w:tab w:val="num" w:pos="720"/>
        </w:tabs>
        <w:ind w:left="720" w:hanging="360"/>
      </w:pPr>
      <w:rPr>
        <w:rFonts w:ascii="Arial" w:hAnsi="Arial" w:cs="Arial"/>
      </w:rPr>
    </w:lvl>
    <w:lvl w:ilvl="6">
      <w:start w:val="1"/>
      <w:numFmt w:val="decimal"/>
      <w:pStyle w:val="ListBullet3"/>
      <w:lvlText w:val="−"/>
      <w:lvlJc w:val="left"/>
      <w:pPr>
        <w:tabs>
          <w:tab w:val="num" w:pos="1080"/>
        </w:tabs>
        <w:ind w:left="1080" w:hanging="360"/>
      </w:pPr>
      <w:rPr>
        <w:rFonts w:ascii="Arial" w:hAnsi="Arial" w:cs="Arial"/>
      </w:rPr>
    </w:lvl>
    <w:lvl w:ilvl="7">
      <w:start w:val="1"/>
      <w:numFmt w:val="lowerLetter"/>
      <w:pStyle w:val="List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27" w15:restartNumberingAfterBreak="0">
    <w:nsid w:val="46707BE0"/>
    <w:multiLevelType w:val="hybridMultilevel"/>
    <w:tmpl w:val="1D802B3E"/>
    <w:lvl w:ilvl="0" w:tplc="A27E2962">
      <w:numFmt w:val="bullet"/>
      <w:lvlText w:val=""/>
      <w:lvlJc w:val="left"/>
      <w:pPr>
        <w:ind w:left="286" w:hanging="360"/>
      </w:pPr>
      <w:rPr>
        <w:rFonts w:ascii="Symbol" w:eastAsia="Times New Roman" w:hAnsi="Symbol" w:cs="Times New Roman" w:hint="default"/>
      </w:rPr>
    </w:lvl>
    <w:lvl w:ilvl="1" w:tplc="08090003" w:tentative="1">
      <w:start w:val="1"/>
      <w:numFmt w:val="bullet"/>
      <w:lvlText w:val="o"/>
      <w:lvlJc w:val="left"/>
      <w:pPr>
        <w:ind w:left="1006" w:hanging="360"/>
      </w:pPr>
      <w:rPr>
        <w:rFonts w:ascii="Courier New" w:hAnsi="Courier New" w:cs="Courier New" w:hint="default"/>
      </w:rPr>
    </w:lvl>
    <w:lvl w:ilvl="2" w:tplc="08090005" w:tentative="1">
      <w:start w:val="1"/>
      <w:numFmt w:val="bullet"/>
      <w:lvlText w:val=""/>
      <w:lvlJc w:val="left"/>
      <w:pPr>
        <w:ind w:left="1726" w:hanging="360"/>
      </w:pPr>
      <w:rPr>
        <w:rFonts w:ascii="Wingdings" w:hAnsi="Wingdings" w:hint="default"/>
      </w:rPr>
    </w:lvl>
    <w:lvl w:ilvl="3" w:tplc="08090001" w:tentative="1">
      <w:start w:val="1"/>
      <w:numFmt w:val="bullet"/>
      <w:lvlText w:val=""/>
      <w:lvlJc w:val="left"/>
      <w:pPr>
        <w:ind w:left="2446" w:hanging="360"/>
      </w:pPr>
      <w:rPr>
        <w:rFonts w:ascii="Symbol" w:hAnsi="Symbol" w:hint="default"/>
      </w:rPr>
    </w:lvl>
    <w:lvl w:ilvl="4" w:tplc="08090003" w:tentative="1">
      <w:start w:val="1"/>
      <w:numFmt w:val="bullet"/>
      <w:lvlText w:val="o"/>
      <w:lvlJc w:val="left"/>
      <w:pPr>
        <w:ind w:left="3166" w:hanging="360"/>
      </w:pPr>
      <w:rPr>
        <w:rFonts w:ascii="Courier New" w:hAnsi="Courier New" w:cs="Courier New" w:hint="default"/>
      </w:rPr>
    </w:lvl>
    <w:lvl w:ilvl="5" w:tplc="08090005" w:tentative="1">
      <w:start w:val="1"/>
      <w:numFmt w:val="bullet"/>
      <w:lvlText w:val=""/>
      <w:lvlJc w:val="left"/>
      <w:pPr>
        <w:ind w:left="3886" w:hanging="360"/>
      </w:pPr>
      <w:rPr>
        <w:rFonts w:ascii="Wingdings" w:hAnsi="Wingdings" w:hint="default"/>
      </w:rPr>
    </w:lvl>
    <w:lvl w:ilvl="6" w:tplc="08090001" w:tentative="1">
      <w:start w:val="1"/>
      <w:numFmt w:val="bullet"/>
      <w:lvlText w:val=""/>
      <w:lvlJc w:val="left"/>
      <w:pPr>
        <w:ind w:left="4606" w:hanging="360"/>
      </w:pPr>
      <w:rPr>
        <w:rFonts w:ascii="Symbol" w:hAnsi="Symbol" w:hint="default"/>
      </w:rPr>
    </w:lvl>
    <w:lvl w:ilvl="7" w:tplc="08090003" w:tentative="1">
      <w:start w:val="1"/>
      <w:numFmt w:val="bullet"/>
      <w:lvlText w:val="o"/>
      <w:lvlJc w:val="left"/>
      <w:pPr>
        <w:ind w:left="5326" w:hanging="360"/>
      </w:pPr>
      <w:rPr>
        <w:rFonts w:ascii="Courier New" w:hAnsi="Courier New" w:cs="Courier New" w:hint="default"/>
      </w:rPr>
    </w:lvl>
    <w:lvl w:ilvl="8" w:tplc="08090005" w:tentative="1">
      <w:start w:val="1"/>
      <w:numFmt w:val="bullet"/>
      <w:lvlText w:val=""/>
      <w:lvlJc w:val="left"/>
      <w:pPr>
        <w:ind w:left="6046" w:hanging="360"/>
      </w:pPr>
      <w:rPr>
        <w:rFonts w:ascii="Wingdings" w:hAnsi="Wingdings" w:hint="default"/>
      </w:rPr>
    </w:lvl>
  </w:abstractNum>
  <w:abstractNum w:abstractNumId="28" w15:restartNumberingAfterBreak="0">
    <w:nsid w:val="47246BFB"/>
    <w:multiLevelType w:val="hybridMultilevel"/>
    <w:tmpl w:val="AC3CFE6A"/>
    <w:lvl w:ilvl="0" w:tplc="6476662C">
      <w:start w:val="1"/>
      <w:numFmt w:val="bullet"/>
      <w:pStyle w:val="Bullet1"/>
      <w:lvlText w:val=""/>
      <w:lvlJc w:val="left"/>
      <w:pPr>
        <w:ind w:left="288" w:hanging="288"/>
      </w:pPr>
      <w:rPr>
        <w:rFonts w:ascii="Symbol" w:hAnsi="Symbol" w:hint="default"/>
        <w:b/>
        <w:i w:val="0"/>
        <w:color w:val="7C848A"/>
      </w:rPr>
    </w:lvl>
    <w:lvl w:ilvl="1" w:tplc="257ECA48" w:tentative="1">
      <w:start w:val="1"/>
      <w:numFmt w:val="bullet"/>
      <w:lvlText w:val="o"/>
      <w:lvlJc w:val="left"/>
      <w:pPr>
        <w:tabs>
          <w:tab w:val="num" w:pos="1440"/>
        </w:tabs>
        <w:ind w:left="1440" w:hanging="360"/>
      </w:pPr>
      <w:rPr>
        <w:rFonts w:ascii="Courier New" w:hAnsi="Courier New" w:cs="Courier New" w:hint="default"/>
      </w:rPr>
    </w:lvl>
    <w:lvl w:ilvl="2" w:tplc="A0BCEFAE" w:tentative="1">
      <w:start w:val="1"/>
      <w:numFmt w:val="bullet"/>
      <w:lvlText w:val=""/>
      <w:lvlJc w:val="left"/>
      <w:pPr>
        <w:tabs>
          <w:tab w:val="num" w:pos="2160"/>
        </w:tabs>
        <w:ind w:left="2160" w:hanging="360"/>
      </w:pPr>
      <w:rPr>
        <w:rFonts w:ascii="Wingdings" w:hAnsi="Wingdings" w:hint="default"/>
      </w:rPr>
    </w:lvl>
    <w:lvl w:ilvl="3" w:tplc="7BD06FF2" w:tentative="1">
      <w:start w:val="1"/>
      <w:numFmt w:val="bullet"/>
      <w:lvlText w:val=""/>
      <w:lvlJc w:val="left"/>
      <w:pPr>
        <w:tabs>
          <w:tab w:val="num" w:pos="2880"/>
        </w:tabs>
        <w:ind w:left="2880" w:hanging="360"/>
      </w:pPr>
      <w:rPr>
        <w:rFonts w:ascii="Symbol" w:hAnsi="Symbol" w:hint="default"/>
      </w:rPr>
    </w:lvl>
    <w:lvl w:ilvl="4" w:tplc="F58A2F10" w:tentative="1">
      <w:start w:val="1"/>
      <w:numFmt w:val="bullet"/>
      <w:lvlText w:val="o"/>
      <w:lvlJc w:val="left"/>
      <w:pPr>
        <w:tabs>
          <w:tab w:val="num" w:pos="3600"/>
        </w:tabs>
        <w:ind w:left="3600" w:hanging="360"/>
      </w:pPr>
      <w:rPr>
        <w:rFonts w:ascii="Courier New" w:hAnsi="Courier New" w:cs="Courier New" w:hint="default"/>
      </w:rPr>
    </w:lvl>
    <w:lvl w:ilvl="5" w:tplc="C8F051B6" w:tentative="1">
      <w:start w:val="1"/>
      <w:numFmt w:val="bullet"/>
      <w:lvlText w:val=""/>
      <w:lvlJc w:val="left"/>
      <w:pPr>
        <w:tabs>
          <w:tab w:val="num" w:pos="4320"/>
        </w:tabs>
        <w:ind w:left="4320" w:hanging="360"/>
      </w:pPr>
      <w:rPr>
        <w:rFonts w:ascii="Wingdings" w:hAnsi="Wingdings" w:hint="default"/>
      </w:rPr>
    </w:lvl>
    <w:lvl w:ilvl="6" w:tplc="4AEA5646" w:tentative="1">
      <w:start w:val="1"/>
      <w:numFmt w:val="bullet"/>
      <w:lvlText w:val=""/>
      <w:lvlJc w:val="left"/>
      <w:pPr>
        <w:tabs>
          <w:tab w:val="num" w:pos="5040"/>
        </w:tabs>
        <w:ind w:left="5040" w:hanging="360"/>
      </w:pPr>
      <w:rPr>
        <w:rFonts w:ascii="Symbol" w:hAnsi="Symbol" w:hint="default"/>
      </w:rPr>
    </w:lvl>
    <w:lvl w:ilvl="7" w:tplc="19D69E38" w:tentative="1">
      <w:start w:val="1"/>
      <w:numFmt w:val="bullet"/>
      <w:lvlText w:val="o"/>
      <w:lvlJc w:val="left"/>
      <w:pPr>
        <w:tabs>
          <w:tab w:val="num" w:pos="5760"/>
        </w:tabs>
        <w:ind w:left="5760" w:hanging="360"/>
      </w:pPr>
      <w:rPr>
        <w:rFonts w:ascii="Courier New" w:hAnsi="Courier New" w:cs="Courier New" w:hint="default"/>
      </w:rPr>
    </w:lvl>
    <w:lvl w:ilvl="8" w:tplc="4BCE86D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814923"/>
    <w:multiLevelType w:val="multilevel"/>
    <w:tmpl w:val="FF3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7F1ADB"/>
    <w:multiLevelType w:val="hybridMultilevel"/>
    <w:tmpl w:val="0D8293F4"/>
    <w:lvl w:ilvl="0" w:tplc="BC8E349E">
      <w:start w:val="1"/>
      <w:numFmt w:val="bullet"/>
      <w:lvlText w:val=""/>
      <w:lvlJc w:val="left"/>
      <w:pPr>
        <w:ind w:left="1287" w:hanging="360"/>
      </w:pPr>
      <w:rPr>
        <w:rFonts w:ascii="Symbol" w:hAnsi="Symbol" w:hint="default"/>
      </w:rPr>
    </w:lvl>
    <w:lvl w:ilvl="1" w:tplc="04E4D786" w:tentative="1">
      <w:start w:val="1"/>
      <w:numFmt w:val="bullet"/>
      <w:lvlText w:val="o"/>
      <w:lvlJc w:val="left"/>
      <w:pPr>
        <w:ind w:left="2007" w:hanging="360"/>
      </w:pPr>
      <w:rPr>
        <w:rFonts w:ascii="Courier New" w:hAnsi="Courier New" w:cs="Courier New" w:hint="default"/>
      </w:rPr>
    </w:lvl>
    <w:lvl w:ilvl="2" w:tplc="F07ECB34" w:tentative="1">
      <w:start w:val="1"/>
      <w:numFmt w:val="bullet"/>
      <w:lvlText w:val=""/>
      <w:lvlJc w:val="left"/>
      <w:pPr>
        <w:ind w:left="2727" w:hanging="360"/>
      </w:pPr>
      <w:rPr>
        <w:rFonts w:ascii="Wingdings" w:hAnsi="Wingdings" w:hint="default"/>
      </w:rPr>
    </w:lvl>
    <w:lvl w:ilvl="3" w:tplc="38F68AF8" w:tentative="1">
      <w:start w:val="1"/>
      <w:numFmt w:val="bullet"/>
      <w:lvlText w:val=""/>
      <w:lvlJc w:val="left"/>
      <w:pPr>
        <w:ind w:left="3447" w:hanging="360"/>
      </w:pPr>
      <w:rPr>
        <w:rFonts w:ascii="Symbol" w:hAnsi="Symbol" w:hint="default"/>
      </w:rPr>
    </w:lvl>
    <w:lvl w:ilvl="4" w:tplc="AFAA8FB6" w:tentative="1">
      <w:start w:val="1"/>
      <w:numFmt w:val="bullet"/>
      <w:lvlText w:val="o"/>
      <w:lvlJc w:val="left"/>
      <w:pPr>
        <w:ind w:left="4167" w:hanging="360"/>
      </w:pPr>
      <w:rPr>
        <w:rFonts w:ascii="Courier New" w:hAnsi="Courier New" w:cs="Courier New" w:hint="default"/>
      </w:rPr>
    </w:lvl>
    <w:lvl w:ilvl="5" w:tplc="D61C7762" w:tentative="1">
      <w:start w:val="1"/>
      <w:numFmt w:val="bullet"/>
      <w:lvlText w:val=""/>
      <w:lvlJc w:val="left"/>
      <w:pPr>
        <w:ind w:left="4887" w:hanging="360"/>
      </w:pPr>
      <w:rPr>
        <w:rFonts w:ascii="Wingdings" w:hAnsi="Wingdings" w:hint="default"/>
      </w:rPr>
    </w:lvl>
    <w:lvl w:ilvl="6" w:tplc="680ABEF6" w:tentative="1">
      <w:start w:val="1"/>
      <w:numFmt w:val="bullet"/>
      <w:lvlText w:val=""/>
      <w:lvlJc w:val="left"/>
      <w:pPr>
        <w:ind w:left="5607" w:hanging="360"/>
      </w:pPr>
      <w:rPr>
        <w:rFonts w:ascii="Symbol" w:hAnsi="Symbol" w:hint="default"/>
      </w:rPr>
    </w:lvl>
    <w:lvl w:ilvl="7" w:tplc="6C7EA34A" w:tentative="1">
      <w:start w:val="1"/>
      <w:numFmt w:val="bullet"/>
      <w:lvlText w:val="o"/>
      <w:lvlJc w:val="left"/>
      <w:pPr>
        <w:ind w:left="6327" w:hanging="360"/>
      </w:pPr>
      <w:rPr>
        <w:rFonts w:ascii="Courier New" w:hAnsi="Courier New" w:cs="Courier New" w:hint="default"/>
      </w:rPr>
    </w:lvl>
    <w:lvl w:ilvl="8" w:tplc="F13AFD54" w:tentative="1">
      <w:start w:val="1"/>
      <w:numFmt w:val="bullet"/>
      <w:lvlText w:val=""/>
      <w:lvlJc w:val="left"/>
      <w:pPr>
        <w:ind w:left="7047" w:hanging="360"/>
      </w:pPr>
      <w:rPr>
        <w:rFonts w:ascii="Wingdings" w:hAnsi="Wingdings" w:hint="default"/>
      </w:rPr>
    </w:lvl>
  </w:abstractNum>
  <w:abstractNum w:abstractNumId="31" w15:restartNumberingAfterBreak="0">
    <w:nsid w:val="4C6A4B5B"/>
    <w:multiLevelType w:val="hybridMultilevel"/>
    <w:tmpl w:val="D1623C42"/>
    <w:lvl w:ilvl="0" w:tplc="523E6350">
      <w:start w:val="1"/>
      <w:numFmt w:val="lowerRoman"/>
      <w:pStyle w:val="Numbered3"/>
      <w:lvlText w:val="%1."/>
      <w:lvlJc w:val="right"/>
      <w:pPr>
        <w:ind w:left="1066" w:hanging="360"/>
      </w:pPr>
      <w:rPr>
        <w:rFonts w:ascii="Arial" w:hAnsi="Arial" w:hint="default"/>
        <w:b w:val="0"/>
        <w:i w:val="0"/>
        <w:color w:val="7C848A"/>
        <w:sz w:val="22"/>
      </w:rPr>
    </w:lvl>
    <w:lvl w:ilvl="1" w:tplc="7710191A" w:tentative="1">
      <w:start w:val="1"/>
      <w:numFmt w:val="lowerLetter"/>
      <w:lvlText w:val="%2."/>
      <w:lvlJc w:val="left"/>
      <w:pPr>
        <w:ind w:left="2146" w:hanging="360"/>
      </w:pPr>
    </w:lvl>
    <w:lvl w:ilvl="2" w:tplc="4F62F1D4" w:tentative="1">
      <w:start w:val="1"/>
      <w:numFmt w:val="lowerRoman"/>
      <w:lvlText w:val="%3."/>
      <w:lvlJc w:val="right"/>
      <w:pPr>
        <w:ind w:left="2866" w:hanging="180"/>
      </w:pPr>
    </w:lvl>
    <w:lvl w:ilvl="3" w:tplc="DCD68E2C" w:tentative="1">
      <w:start w:val="1"/>
      <w:numFmt w:val="decimal"/>
      <w:lvlText w:val="%4."/>
      <w:lvlJc w:val="left"/>
      <w:pPr>
        <w:ind w:left="3586" w:hanging="360"/>
      </w:pPr>
    </w:lvl>
    <w:lvl w:ilvl="4" w:tplc="95067AFC" w:tentative="1">
      <w:start w:val="1"/>
      <w:numFmt w:val="lowerLetter"/>
      <w:lvlText w:val="%5."/>
      <w:lvlJc w:val="left"/>
      <w:pPr>
        <w:ind w:left="4306" w:hanging="360"/>
      </w:pPr>
    </w:lvl>
    <w:lvl w:ilvl="5" w:tplc="B2747CDC" w:tentative="1">
      <w:start w:val="1"/>
      <w:numFmt w:val="lowerRoman"/>
      <w:lvlText w:val="%6."/>
      <w:lvlJc w:val="right"/>
      <w:pPr>
        <w:ind w:left="5026" w:hanging="180"/>
      </w:pPr>
    </w:lvl>
    <w:lvl w:ilvl="6" w:tplc="A718D160" w:tentative="1">
      <w:start w:val="1"/>
      <w:numFmt w:val="decimal"/>
      <w:lvlText w:val="%7."/>
      <w:lvlJc w:val="left"/>
      <w:pPr>
        <w:ind w:left="5746" w:hanging="360"/>
      </w:pPr>
    </w:lvl>
    <w:lvl w:ilvl="7" w:tplc="E79A8688" w:tentative="1">
      <w:start w:val="1"/>
      <w:numFmt w:val="lowerLetter"/>
      <w:lvlText w:val="%8."/>
      <w:lvlJc w:val="left"/>
      <w:pPr>
        <w:ind w:left="6466" w:hanging="360"/>
      </w:pPr>
    </w:lvl>
    <w:lvl w:ilvl="8" w:tplc="7E749DA0" w:tentative="1">
      <w:start w:val="1"/>
      <w:numFmt w:val="lowerRoman"/>
      <w:lvlText w:val="%9."/>
      <w:lvlJc w:val="right"/>
      <w:pPr>
        <w:ind w:left="7186" w:hanging="180"/>
      </w:pPr>
    </w:lvl>
  </w:abstractNum>
  <w:abstractNum w:abstractNumId="32" w15:restartNumberingAfterBreak="0">
    <w:nsid w:val="50434EE1"/>
    <w:multiLevelType w:val="hybridMultilevel"/>
    <w:tmpl w:val="AF168CBE"/>
    <w:lvl w:ilvl="0" w:tplc="9264A8FA">
      <w:start w:val="1"/>
      <w:numFmt w:val="bullet"/>
      <w:lvlText w:val=""/>
      <w:lvlJc w:val="left"/>
      <w:pPr>
        <w:ind w:left="360" w:hanging="360"/>
      </w:pPr>
      <w:rPr>
        <w:rFonts w:ascii="Symbol" w:hAnsi="Symbol" w:hint="default"/>
      </w:rPr>
    </w:lvl>
    <w:lvl w:ilvl="1" w:tplc="014886C6" w:tentative="1">
      <w:start w:val="1"/>
      <w:numFmt w:val="bullet"/>
      <w:lvlText w:val="o"/>
      <w:lvlJc w:val="left"/>
      <w:pPr>
        <w:ind w:left="1080" w:hanging="360"/>
      </w:pPr>
      <w:rPr>
        <w:rFonts w:ascii="Courier New" w:hAnsi="Courier New" w:cs="Courier New" w:hint="default"/>
      </w:rPr>
    </w:lvl>
    <w:lvl w:ilvl="2" w:tplc="BA4699CC" w:tentative="1">
      <w:start w:val="1"/>
      <w:numFmt w:val="bullet"/>
      <w:lvlText w:val=""/>
      <w:lvlJc w:val="left"/>
      <w:pPr>
        <w:ind w:left="1800" w:hanging="360"/>
      </w:pPr>
      <w:rPr>
        <w:rFonts w:ascii="Wingdings" w:hAnsi="Wingdings" w:hint="default"/>
      </w:rPr>
    </w:lvl>
    <w:lvl w:ilvl="3" w:tplc="9AFE6948" w:tentative="1">
      <w:start w:val="1"/>
      <w:numFmt w:val="bullet"/>
      <w:lvlText w:val=""/>
      <w:lvlJc w:val="left"/>
      <w:pPr>
        <w:ind w:left="2520" w:hanging="360"/>
      </w:pPr>
      <w:rPr>
        <w:rFonts w:ascii="Symbol" w:hAnsi="Symbol" w:hint="default"/>
      </w:rPr>
    </w:lvl>
    <w:lvl w:ilvl="4" w:tplc="6F6AB58E" w:tentative="1">
      <w:start w:val="1"/>
      <w:numFmt w:val="bullet"/>
      <w:lvlText w:val="o"/>
      <w:lvlJc w:val="left"/>
      <w:pPr>
        <w:ind w:left="3240" w:hanging="360"/>
      </w:pPr>
      <w:rPr>
        <w:rFonts w:ascii="Courier New" w:hAnsi="Courier New" w:cs="Courier New" w:hint="default"/>
      </w:rPr>
    </w:lvl>
    <w:lvl w:ilvl="5" w:tplc="98F6C154" w:tentative="1">
      <w:start w:val="1"/>
      <w:numFmt w:val="bullet"/>
      <w:lvlText w:val=""/>
      <w:lvlJc w:val="left"/>
      <w:pPr>
        <w:ind w:left="3960" w:hanging="360"/>
      </w:pPr>
      <w:rPr>
        <w:rFonts w:ascii="Wingdings" w:hAnsi="Wingdings" w:hint="default"/>
      </w:rPr>
    </w:lvl>
    <w:lvl w:ilvl="6" w:tplc="467EA530" w:tentative="1">
      <w:start w:val="1"/>
      <w:numFmt w:val="bullet"/>
      <w:lvlText w:val=""/>
      <w:lvlJc w:val="left"/>
      <w:pPr>
        <w:ind w:left="4680" w:hanging="360"/>
      </w:pPr>
      <w:rPr>
        <w:rFonts w:ascii="Symbol" w:hAnsi="Symbol" w:hint="default"/>
      </w:rPr>
    </w:lvl>
    <w:lvl w:ilvl="7" w:tplc="B0D8C4CA" w:tentative="1">
      <w:start w:val="1"/>
      <w:numFmt w:val="bullet"/>
      <w:lvlText w:val="o"/>
      <w:lvlJc w:val="left"/>
      <w:pPr>
        <w:ind w:left="5400" w:hanging="360"/>
      </w:pPr>
      <w:rPr>
        <w:rFonts w:ascii="Courier New" w:hAnsi="Courier New" w:cs="Courier New" w:hint="default"/>
      </w:rPr>
    </w:lvl>
    <w:lvl w:ilvl="8" w:tplc="F2147A24" w:tentative="1">
      <w:start w:val="1"/>
      <w:numFmt w:val="bullet"/>
      <w:lvlText w:val=""/>
      <w:lvlJc w:val="left"/>
      <w:pPr>
        <w:ind w:left="6120" w:hanging="360"/>
      </w:pPr>
      <w:rPr>
        <w:rFonts w:ascii="Wingdings" w:hAnsi="Wingdings" w:hint="default"/>
      </w:rPr>
    </w:lvl>
  </w:abstractNum>
  <w:abstractNum w:abstractNumId="33" w15:restartNumberingAfterBreak="0">
    <w:nsid w:val="519465FD"/>
    <w:multiLevelType w:val="hybridMultilevel"/>
    <w:tmpl w:val="DD42B69E"/>
    <w:lvl w:ilvl="0" w:tplc="3028D906">
      <w:start w:val="1"/>
      <w:numFmt w:val="bullet"/>
      <w:lvlText w:val=""/>
      <w:lvlJc w:val="left"/>
      <w:pPr>
        <w:ind w:left="360" w:hanging="360"/>
      </w:pPr>
      <w:rPr>
        <w:rFonts w:ascii="Symbol" w:hAnsi="Symbol" w:hint="default"/>
      </w:rPr>
    </w:lvl>
    <w:lvl w:ilvl="1" w:tplc="6C4ABE62" w:tentative="1">
      <w:start w:val="1"/>
      <w:numFmt w:val="bullet"/>
      <w:lvlText w:val="o"/>
      <w:lvlJc w:val="left"/>
      <w:pPr>
        <w:ind w:left="1080" w:hanging="360"/>
      </w:pPr>
      <w:rPr>
        <w:rFonts w:ascii="Courier New" w:hAnsi="Courier New" w:cs="Courier New" w:hint="default"/>
      </w:rPr>
    </w:lvl>
    <w:lvl w:ilvl="2" w:tplc="414A1114" w:tentative="1">
      <w:start w:val="1"/>
      <w:numFmt w:val="bullet"/>
      <w:lvlText w:val=""/>
      <w:lvlJc w:val="left"/>
      <w:pPr>
        <w:ind w:left="1800" w:hanging="360"/>
      </w:pPr>
      <w:rPr>
        <w:rFonts w:ascii="Wingdings" w:hAnsi="Wingdings" w:hint="default"/>
      </w:rPr>
    </w:lvl>
    <w:lvl w:ilvl="3" w:tplc="687AAD96" w:tentative="1">
      <w:start w:val="1"/>
      <w:numFmt w:val="bullet"/>
      <w:lvlText w:val=""/>
      <w:lvlJc w:val="left"/>
      <w:pPr>
        <w:ind w:left="2520" w:hanging="360"/>
      </w:pPr>
      <w:rPr>
        <w:rFonts w:ascii="Symbol" w:hAnsi="Symbol" w:hint="default"/>
      </w:rPr>
    </w:lvl>
    <w:lvl w:ilvl="4" w:tplc="D19ABB5C" w:tentative="1">
      <w:start w:val="1"/>
      <w:numFmt w:val="bullet"/>
      <w:lvlText w:val="o"/>
      <w:lvlJc w:val="left"/>
      <w:pPr>
        <w:ind w:left="3240" w:hanging="360"/>
      </w:pPr>
      <w:rPr>
        <w:rFonts w:ascii="Courier New" w:hAnsi="Courier New" w:cs="Courier New" w:hint="default"/>
      </w:rPr>
    </w:lvl>
    <w:lvl w:ilvl="5" w:tplc="4F60AA22" w:tentative="1">
      <w:start w:val="1"/>
      <w:numFmt w:val="bullet"/>
      <w:lvlText w:val=""/>
      <w:lvlJc w:val="left"/>
      <w:pPr>
        <w:ind w:left="3960" w:hanging="360"/>
      </w:pPr>
      <w:rPr>
        <w:rFonts w:ascii="Wingdings" w:hAnsi="Wingdings" w:hint="default"/>
      </w:rPr>
    </w:lvl>
    <w:lvl w:ilvl="6" w:tplc="6CF442E8" w:tentative="1">
      <w:start w:val="1"/>
      <w:numFmt w:val="bullet"/>
      <w:lvlText w:val=""/>
      <w:lvlJc w:val="left"/>
      <w:pPr>
        <w:ind w:left="4680" w:hanging="360"/>
      </w:pPr>
      <w:rPr>
        <w:rFonts w:ascii="Symbol" w:hAnsi="Symbol" w:hint="default"/>
      </w:rPr>
    </w:lvl>
    <w:lvl w:ilvl="7" w:tplc="41DACC96" w:tentative="1">
      <w:start w:val="1"/>
      <w:numFmt w:val="bullet"/>
      <w:lvlText w:val="o"/>
      <w:lvlJc w:val="left"/>
      <w:pPr>
        <w:ind w:left="5400" w:hanging="360"/>
      </w:pPr>
      <w:rPr>
        <w:rFonts w:ascii="Courier New" w:hAnsi="Courier New" w:cs="Courier New" w:hint="default"/>
      </w:rPr>
    </w:lvl>
    <w:lvl w:ilvl="8" w:tplc="2D08FB1A" w:tentative="1">
      <w:start w:val="1"/>
      <w:numFmt w:val="bullet"/>
      <w:lvlText w:val=""/>
      <w:lvlJc w:val="left"/>
      <w:pPr>
        <w:ind w:left="6120" w:hanging="360"/>
      </w:pPr>
      <w:rPr>
        <w:rFonts w:ascii="Wingdings" w:hAnsi="Wingdings" w:hint="default"/>
      </w:rPr>
    </w:lvl>
  </w:abstractNum>
  <w:abstractNum w:abstractNumId="34" w15:restartNumberingAfterBreak="0">
    <w:nsid w:val="55FC78EC"/>
    <w:multiLevelType w:val="hybridMultilevel"/>
    <w:tmpl w:val="10588116"/>
    <w:lvl w:ilvl="0" w:tplc="670CB92E">
      <w:start w:val="1"/>
      <w:numFmt w:val="bullet"/>
      <w:pStyle w:val="BulletOne"/>
      <w:lvlText w:val=""/>
      <w:lvlJc w:val="left"/>
      <w:pPr>
        <w:tabs>
          <w:tab w:val="num" w:pos="624"/>
        </w:tabs>
        <w:ind w:left="624" w:hanging="340"/>
      </w:pPr>
      <w:rPr>
        <w:rFonts w:ascii="Symbol" w:hAnsi="Symbol" w:hint="default"/>
      </w:rPr>
    </w:lvl>
    <w:lvl w:ilvl="1" w:tplc="A9AEFA9C" w:tentative="1">
      <w:start w:val="1"/>
      <w:numFmt w:val="bullet"/>
      <w:lvlText w:val="o"/>
      <w:lvlJc w:val="left"/>
      <w:pPr>
        <w:tabs>
          <w:tab w:val="num" w:pos="1724"/>
        </w:tabs>
        <w:ind w:left="1724" w:hanging="360"/>
      </w:pPr>
      <w:rPr>
        <w:rFonts w:ascii="Courier New" w:hAnsi="Courier New" w:cs="Courier New" w:hint="default"/>
      </w:rPr>
    </w:lvl>
    <w:lvl w:ilvl="2" w:tplc="C0CA8D00" w:tentative="1">
      <w:start w:val="1"/>
      <w:numFmt w:val="bullet"/>
      <w:lvlText w:val=""/>
      <w:lvlJc w:val="left"/>
      <w:pPr>
        <w:tabs>
          <w:tab w:val="num" w:pos="2444"/>
        </w:tabs>
        <w:ind w:left="2444" w:hanging="360"/>
      </w:pPr>
      <w:rPr>
        <w:rFonts w:ascii="Wingdings" w:hAnsi="Wingdings" w:hint="default"/>
      </w:rPr>
    </w:lvl>
    <w:lvl w:ilvl="3" w:tplc="AFA6FFC2" w:tentative="1">
      <w:start w:val="1"/>
      <w:numFmt w:val="bullet"/>
      <w:lvlText w:val=""/>
      <w:lvlJc w:val="left"/>
      <w:pPr>
        <w:tabs>
          <w:tab w:val="num" w:pos="3164"/>
        </w:tabs>
        <w:ind w:left="3164" w:hanging="360"/>
      </w:pPr>
      <w:rPr>
        <w:rFonts w:ascii="Symbol" w:hAnsi="Symbol" w:hint="default"/>
      </w:rPr>
    </w:lvl>
    <w:lvl w:ilvl="4" w:tplc="41A60026" w:tentative="1">
      <w:start w:val="1"/>
      <w:numFmt w:val="bullet"/>
      <w:lvlText w:val="o"/>
      <w:lvlJc w:val="left"/>
      <w:pPr>
        <w:tabs>
          <w:tab w:val="num" w:pos="3884"/>
        </w:tabs>
        <w:ind w:left="3884" w:hanging="360"/>
      </w:pPr>
      <w:rPr>
        <w:rFonts w:ascii="Courier New" w:hAnsi="Courier New" w:cs="Courier New" w:hint="default"/>
      </w:rPr>
    </w:lvl>
    <w:lvl w:ilvl="5" w:tplc="3266F4B8" w:tentative="1">
      <w:start w:val="1"/>
      <w:numFmt w:val="bullet"/>
      <w:lvlText w:val=""/>
      <w:lvlJc w:val="left"/>
      <w:pPr>
        <w:tabs>
          <w:tab w:val="num" w:pos="4604"/>
        </w:tabs>
        <w:ind w:left="4604" w:hanging="360"/>
      </w:pPr>
      <w:rPr>
        <w:rFonts w:ascii="Wingdings" w:hAnsi="Wingdings" w:hint="default"/>
      </w:rPr>
    </w:lvl>
    <w:lvl w:ilvl="6" w:tplc="ED428F5E" w:tentative="1">
      <w:start w:val="1"/>
      <w:numFmt w:val="bullet"/>
      <w:lvlText w:val=""/>
      <w:lvlJc w:val="left"/>
      <w:pPr>
        <w:tabs>
          <w:tab w:val="num" w:pos="5324"/>
        </w:tabs>
        <w:ind w:left="5324" w:hanging="360"/>
      </w:pPr>
      <w:rPr>
        <w:rFonts w:ascii="Symbol" w:hAnsi="Symbol" w:hint="default"/>
      </w:rPr>
    </w:lvl>
    <w:lvl w:ilvl="7" w:tplc="6FDCAE0C" w:tentative="1">
      <w:start w:val="1"/>
      <w:numFmt w:val="bullet"/>
      <w:lvlText w:val="o"/>
      <w:lvlJc w:val="left"/>
      <w:pPr>
        <w:tabs>
          <w:tab w:val="num" w:pos="6044"/>
        </w:tabs>
        <w:ind w:left="6044" w:hanging="360"/>
      </w:pPr>
      <w:rPr>
        <w:rFonts w:ascii="Courier New" w:hAnsi="Courier New" w:cs="Courier New" w:hint="default"/>
      </w:rPr>
    </w:lvl>
    <w:lvl w:ilvl="8" w:tplc="95100926"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56332D6D"/>
    <w:multiLevelType w:val="multilevel"/>
    <w:tmpl w:val="C7720096"/>
    <w:lvl w:ilvl="0">
      <w:start w:val="3"/>
      <w:numFmt w:val="decimal"/>
      <w:lvlText w:val="%1"/>
      <w:lvlJc w:val="left"/>
      <w:pPr>
        <w:ind w:left="450" w:hanging="450"/>
      </w:pPr>
      <w:rPr>
        <w:rFonts w:hint="default"/>
      </w:rPr>
    </w:lvl>
    <w:lvl w:ilvl="1">
      <w:start w:val="1"/>
      <w:numFmt w:val="decimal"/>
      <w:lvlText w:val="%1.%2"/>
      <w:lvlJc w:val="left"/>
      <w:pPr>
        <w:ind w:left="1647" w:hanging="720"/>
      </w:pPr>
      <w:rPr>
        <w:rFonts w:hint="default"/>
        <w:b w:val="0"/>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5148" w:hanging="1440"/>
      </w:pPr>
      <w:rPr>
        <w:rFonts w:hint="default"/>
      </w:rPr>
    </w:lvl>
    <w:lvl w:ilvl="5">
      <w:start w:val="1"/>
      <w:numFmt w:val="decimal"/>
      <w:lvlText w:val="%1.%2.%3.%4.%5.%6"/>
      <w:lvlJc w:val="left"/>
      <w:pPr>
        <w:ind w:left="6435" w:hanging="180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649" w:hanging="2160"/>
      </w:pPr>
      <w:rPr>
        <w:rFonts w:hint="default"/>
      </w:rPr>
    </w:lvl>
    <w:lvl w:ilvl="8">
      <w:start w:val="1"/>
      <w:numFmt w:val="decimal"/>
      <w:lvlText w:val="%1.%2.%3.%4.%5.%6.%7.%8.%9"/>
      <w:lvlJc w:val="left"/>
      <w:pPr>
        <w:ind w:left="9936" w:hanging="2520"/>
      </w:pPr>
      <w:rPr>
        <w:rFonts w:hint="default"/>
      </w:rPr>
    </w:lvl>
  </w:abstractNum>
  <w:abstractNum w:abstractNumId="36" w15:restartNumberingAfterBreak="0">
    <w:nsid w:val="574B271D"/>
    <w:multiLevelType w:val="hybridMultilevel"/>
    <w:tmpl w:val="8C0E8BE0"/>
    <w:lvl w:ilvl="0" w:tplc="D7D46B64">
      <w:start w:val="1"/>
      <w:numFmt w:val="bullet"/>
      <w:lvlText w:val=""/>
      <w:lvlJc w:val="left"/>
      <w:pPr>
        <w:ind w:left="1287" w:hanging="360"/>
      </w:pPr>
      <w:rPr>
        <w:rFonts w:ascii="Symbol" w:hAnsi="Symbol" w:hint="default"/>
      </w:rPr>
    </w:lvl>
    <w:lvl w:ilvl="1" w:tplc="618CAD04" w:tentative="1">
      <w:start w:val="1"/>
      <w:numFmt w:val="bullet"/>
      <w:lvlText w:val="o"/>
      <w:lvlJc w:val="left"/>
      <w:pPr>
        <w:ind w:left="2007" w:hanging="360"/>
      </w:pPr>
      <w:rPr>
        <w:rFonts w:ascii="Courier New" w:hAnsi="Courier New" w:cs="Courier New" w:hint="default"/>
      </w:rPr>
    </w:lvl>
    <w:lvl w:ilvl="2" w:tplc="EAB6CA44" w:tentative="1">
      <w:start w:val="1"/>
      <w:numFmt w:val="bullet"/>
      <w:lvlText w:val=""/>
      <w:lvlJc w:val="left"/>
      <w:pPr>
        <w:ind w:left="2727" w:hanging="360"/>
      </w:pPr>
      <w:rPr>
        <w:rFonts w:ascii="Wingdings" w:hAnsi="Wingdings" w:hint="default"/>
      </w:rPr>
    </w:lvl>
    <w:lvl w:ilvl="3" w:tplc="4934D398" w:tentative="1">
      <w:start w:val="1"/>
      <w:numFmt w:val="bullet"/>
      <w:lvlText w:val=""/>
      <w:lvlJc w:val="left"/>
      <w:pPr>
        <w:ind w:left="3447" w:hanging="360"/>
      </w:pPr>
      <w:rPr>
        <w:rFonts w:ascii="Symbol" w:hAnsi="Symbol" w:hint="default"/>
      </w:rPr>
    </w:lvl>
    <w:lvl w:ilvl="4" w:tplc="FB50F93E" w:tentative="1">
      <w:start w:val="1"/>
      <w:numFmt w:val="bullet"/>
      <w:lvlText w:val="o"/>
      <w:lvlJc w:val="left"/>
      <w:pPr>
        <w:ind w:left="4167" w:hanging="360"/>
      </w:pPr>
      <w:rPr>
        <w:rFonts w:ascii="Courier New" w:hAnsi="Courier New" w:cs="Courier New" w:hint="default"/>
      </w:rPr>
    </w:lvl>
    <w:lvl w:ilvl="5" w:tplc="42D43E46" w:tentative="1">
      <w:start w:val="1"/>
      <w:numFmt w:val="bullet"/>
      <w:lvlText w:val=""/>
      <w:lvlJc w:val="left"/>
      <w:pPr>
        <w:ind w:left="4887" w:hanging="360"/>
      </w:pPr>
      <w:rPr>
        <w:rFonts w:ascii="Wingdings" w:hAnsi="Wingdings" w:hint="default"/>
      </w:rPr>
    </w:lvl>
    <w:lvl w:ilvl="6" w:tplc="942E46A4" w:tentative="1">
      <w:start w:val="1"/>
      <w:numFmt w:val="bullet"/>
      <w:lvlText w:val=""/>
      <w:lvlJc w:val="left"/>
      <w:pPr>
        <w:ind w:left="5607" w:hanging="360"/>
      </w:pPr>
      <w:rPr>
        <w:rFonts w:ascii="Symbol" w:hAnsi="Symbol" w:hint="default"/>
      </w:rPr>
    </w:lvl>
    <w:lvl w:ilvl="7" w:tplc="9216CD66" w:tentative="1">
      <w:start w:val="1"/>
      <w:numFmt w:val="bullet"/>
      <w:lvlText w:val="o"/>
      <w:lvlJc w:val="left"/>
      <w:pPr>
        <w:ind w:left="6327" w:hanging="360"/>
      </w:pPr>
      <w:rPr>
        <w:rFonts w:ascii="Courier New" w:hAnsi="Courier New" w:cs="Courier New" w:hint="default"/>
      </w:rPr>
    </w:lvl>
    <w:lvl w:ilvl="8" w:tplc="5BF43766" w:tentative="1">
      <w:start w:val="1"/>
      <w:numFmt w:val="bullet"/>
      <w:lvlText w:val=""/>
      <w:lvlJc w:val="left"/>
      <w:pPr>
        <w:ind w:left="7047" w:hanging="360"/>
      </w:pPr>
      <w:rPr>
        <w:rFonts w:ascii="Wingdings" w:hAnsi="Wingdings" w:hint="default"/>
      </w:rPr>
    </w:lvl>
  </w:abstractNum>
  <w:abstractNum w:abstractNumId="37" w15:restartNumberingAfterBreak="0">
    <w:nsid w:val="5AB3591D"/>
    <w:multiLevelType w:val="multilevel"/>
    <w:tmpl w:val="8B9E93F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pStyle w:val="AppendixHeading1"/>
      <w:suff w:val="nothing"/>
      <w:lvlText w:val="Appendix: %5."/>
      <w:lvlJc w:val="left"/>
      <w:pPr>
        <w:tabs>
          <w:tab w:val="num" w:pos="0"/>
        </w:tabs>
        <w:ind w:left="0" w:firstLine="0"/>
      </w:pPr>
      <w:rPr>
        <w:b w:val="0"/>
        <w:i w:val="0"/>
        <w:caps w:val="0"/>
        <w:smallCaps w:val="0"/>
        <w:vanish/>
        <w:u w:val="none"/>
      </w:rPr>
    </w:lvl>
    <w:lvl w:ilvl="5">
      <w:start w:val="1"/>
      <w:numFmt w:val="decimal"/>
      <w:pStyle w:val="AppendixHeading2"/>
      <w:lvlText w:val="%5.%6."/>
      <w:lvlJc w:val="left"/>
      <w:pPr>
        <w:tabs>
          <w:tab w:val="num" w:pos="840"/>
        </w:tabs>
        <w:ind w:left="840" w:hanging="840"/>
      </w:pPr>
    </w:lvl>
    <w:lvl w:ilvl="6">
      <w:start w:val="1"/>
      <w:numFmt w:val="decimal"/>
      <w:pStyle w:val="AppendixHeading3"/>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38" w15:restartNumberingAfterBreak="0">
    <w:nsid w:val="5B0B786F"/>
    <w:multiLevelType w:val="hybridMultilevel"/>
    <w:tmpl w:val="F830DA14"/>
    <w:lvl w:ilvl="0" w:tplc="A77CE820">
      <w:start w:val="1"/>
      <w:numFmt w:val="bullet"/>
      <w:lvlText w:val=""/>
      <w:lvlJc w:val="left"/>
      <w:pPr>
        <w:ind w:left="720" w:hanging="360"/>
      </w:pPr>
      <w:rPr>
        <w:rFonts w:ascii="Symbol" w:hAnsi="Symbol" w:hint="default"/>
      </w:rPr>
    </w:lvl>
    <w:lvl w:ilvl="1" w:tplc="CAE44264" w:tentative="1">
      <w:start w:val="1"/>
      <w:numFmt w:val="bullet"/>
      <w:lvlText w:val="o"/>
      <w:lvlJc w:val="left"/>
      <w:pPr>
        <w:ind w:left="1440" w:hanging="360"/>
      </w:pPr>
      <w:rPr>
        <w:rFonts w:ascii="Courier New" w:hAnsi="Courier New" w:cs="Courier New" w:hint="default"/>
      </w:rPr>
    </w:lvl>
    <w:lvl w:ilvl="2" w:tplc="786A1390" w:tentative="1">
      <w:start w:val="1"/>
      <w:numFmt w:val="bullet"/>
      <w:lvlText w:val=""/>
      <w:lvlJc w:val="left"/>
      <w:pPr>
        <w:ind w:left="2160" w:hanging="360"/>
      </w:pPr>
      <w:rPr>
        <w:rFonts w:ascii="Wingdings" w:hAnsi="Wingdings" w:hint="default"/>
      </w:rPr>
    </w:lvl>
    <w:lvl w:ilvl="3" w:tplc="FCB2CBCA" w:tentative="1">
      <w:start w:val="1"/>
      <w:numFmt w:val="bullet"/>
      <w:lvlText w:val=""/>
      <w:lvlJc w:val="left"/>
      <w:pPr>
        <w:ind w:left="2880" w:hanging="360"/>
      </w:pPr>
      <w:rPr>
        <w:rFonts w:ascii="Symbol" w:hAnsi="Symbol" w:hint="default"/>
      </w:rPr>
    </w:lvl>
    <w:lvl w:ilvl="4" w:tplc="96E07428" w:tentative="1">
      <w:start w:val="1"/>
      <w:numFmt w:val="bullet"/>
      <w:lvlText w:val="o"/>
      <w:lvlJc w:val="left"/>
      <w:pPr>
        <w:ind w:left="3600" w:hanging="360"/>
      </w:pPr>
      <w:rPr>
        <w:rFonts w:ascii="Courier New" w:hAnsi="Courier New" w:cs="Courier New" w:hint="default"/>
      </w:rPr>
    </w:lvl>
    <w:lvl w:ilvl="5" w:tplc="A0E856FC" w:tentative="1">
      <w:start w:val="1"/>
      <w:numFmt w:val="bullet"/>
      <w:lvlText w:val=""/>
      <w:lvlJc w:val="left"/>
      <w:pPr>
        <w:ind w:left="4320" w:hanging="360"/>
      </w:pPr>
      <w:rPr>
        <w:rFonts w:ascii="Wingdings" w:hAnsi="Wingdings" w:hint="default"/>
      </w:rPr>
    </w:lvl>
    <w:lvl w:ilvl="6" w:tplc="7650605E" w:tentative="1">
      <w:start w:val="1"/>
      <w:numFmt w:val="bullet"/>
      <w:lvlText w:val=""/>
      <w:lvlJc w:val="left"/>
      <w:pPr>
        <w:ind w:left="5040" w:hanging="360"/>
      </w:pPr>
      <w:rPr>
        <w:rFonts w:ascii="Symbol" w:hAnsi="Symbol" w:hint="default"/>
      </w:rPr>
    </w:lvl>
    <w:lvl w:ilvl="7" w:tplc="8260059A" w:tentative="1">
      <w:start w:val="1"/>
      <w:numFmt w:val="bullet"/>
      <w:lvlText w:val="o"/>
      <w:lvlJc w:val="left"/>
      <w:pPr>
        <w:ind w:left="5760" w:hanging="360"/>
      </w:pPr>
      <w:rPr>
        <w:rFonts w:ascii="Courier New" w:hAnsi="Courier New" w:cs="Courier New" w:hint="default"/>
      </w:rPr>
    </w:lvl>
    <w:lvl w:ilvl="8" w:tplc="3606DB5E" w:tentative="1">
      <w:start w:val="1"/>
      <w:numFmt w:val="bullet"/>
      <w:lvlText w:val=""/>
      <w:lvlJc w:val="left"/>
      <w:pPr>
        <w:ind w:left="6480" w:hanging="360"/>
      </w:pPr>
      <w:rPr>
        <w:rFonts w:ascii="Wingdings" w:hAnsi="Wingdings" w:hint="default"/>
      </w:rPr>
    </w:lvl>
  </w:abstractNum>
  <w:abstractNum w:abstractNumId="39" w15:restartNumberingAfterBreak="0">
    <w:nsid w:val="6015487B"/>
    <w:multiLevelType w:val="hybridMultilevel"/>
    <w:tmpl w:val="D004C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29A70CE"/>
    <w:multiLevelType w:val="hybridMultilevel"/>
    <w:tmpl w:val="6D26A490"/>
    <w:lvl w:ilvl="0" w:tplc="0186CA66">
      <w:start w:val="1"/>
      <w:numFmt w:val="bullet"/>
      <w:lvlText w:val=""/>
      <w:lvlJc w:val="left"/>
      <w:pPr>
        <w:ind w:left="360" w:hanging="360"/>
      </w:pPr>
      <w:rPr>
        <w:rFonts w:ascii="Symbol" w:hAnsi="Symbol" w:hint="default"/>
      </w:rPr>
    </w:lvl>
    <w:lvl w:ilvl="1" w:tplc="25243828">
      <w:numFmt w:val="bullet"/>
      <w:lvlText w:val="•"/>
      <w:lvlJc w:val="left"/>
      <w:pPr>
        <w:ind w:left="1440" w:hanging="720"/>
      </w:pPr>
      <w:rPr>
        <w:rFonts w:ascii="Arial" w:eastAsiaTheme="minorHAnsi" w:hAnsi="Arial" w:cs="Arial" w:hint="default"/>
      </w:rPr>
    </w:lvl>
    <w:lvl w:ilvl="2" w:tplc="B75E15CC" w:tentative="1">
      <w:start w:val="1"/>
      <w:numFmt w:val="bullet"/>
      <w:lvlText w:val=""/>
      <w:lvlJc w:val="left"/>
      <w:pPr>
        <w:ind w:left="1800" w:hanging="360"/>
      </w:pPr>
      <w:rPr>
        <w:rFonts w:ascii="Wingdings" w:hAnsi="Wingdings" w:hint="default"/>
      </w:rPr>
    </w:lvl>
    <w:lvl w:ilvl="3" w:tplc="7E6C633E" w:tentative="1">
      <w:start w:val="1"/>
      <w:numFmt w:val="bullet"/>
      <w:lvlText w:val=""/>
      <w:lvlJc w:val="left"/>
      <w:pPr>
        <w:ind w:left="2520" w:hanging="360"/>
      </w:pPr>
      <w:rPr>
        <w:rFonts w:ascii="Symbol" w:hAnsi="Symbol" w:hint="default"/>
      </w:rPr>
    </w:lvl>
    <w:lvl w:ilvl="4" w:tplc="A9B61BCC" w:tentative="1">
      <w:start w:val="1"/>
      <w:numFmt w:val="bullet"/>
      <w:lvlText w:val="o"/>
      <w:lvlJc w:val="left"/>
      <w:pPr>
        <w:ind w:left="3240" w:hanging="360"/>
      </w:pPr>
      <w:rPr>
        <w:rFonts w:ascii="Courier New" w:hAnsi="Courier New" w:cs="Courier New" w:hint="default"/>
      </w:rPr>
    </w:lvl>
    <w:lvl w:ilvl="5" w:tplc="E8D603F8" w:tentative="1">
      <w:start w:val="1"/>
      <w:numFmt w:val="bullet"/>
      <w:lvlText w:val=""/>
      <w:lvlJc w:val="left"/>
      <w:pPr>
        <w:ind w:left="3960" w:hanging="360"/>
      </w:pPr>
      <w:rPr>
        <w:rFonts w:ascii="Wingdings" w:hAnsi="Wingdings" w:hint="default"/>
      </w:rPr>
    </w:lvl>
    <w:lvl w:ilvl="6" w:tplc="AB160118" w:tentative="1">
      <w:start w:val="1"/>
      <w:numFmt w:val="bullet"/>
      <w:lvlText w:val=""/>
      <w:lvlJc w:val="left"/>
      <w:pPr>
        <w:ind w:left="4680" w:hanging="360"/>
      </w:pPr>
      <w:rPr>
        <w:rFonts w:ascii="Symbol" w:hAnsi="Symbol" w:hint="default"/>
      </w:rPr>
    </w:lvl>
    <w:lvl w:ilvl="7" w:tplc="7046C3FC" w:tentative="1">
      <w:start w:val="1"/>
      <w:numFmt w:val="bullet"/>
      <w:lvlText w:val="o"/>
      <w:lvlJc w:val="left"/>
      <w:pPr>
        <w:ind w:left="5400" w:hanging="360"/>
      </w:pPr>
      <w:rPr>
        <w:rFonts w:ascii="Courier New" w:hAnsi="Courier New" w:cs="Courier New" w:hint="default"/>
      </w:rPr>
    </w:lvl>
    <w:lvl w:ilvl="8" w:tplc="28A6C7D0" w:tentative="1">
      <w:start w:val="1"/>
      <w:numFmt w:val="bullet"/>
      <w:lvlText w:val=""/>
      <w:lvlJc w:val="left"/>
      <w:pPr>
        <w:ind w:left="6120" w:hanging="360"/>
      </w:pPr>
      <w:rPr>
        <w:rFonts w:ascii="Wingdings" w:hAnsi="Wingdings" w:hint="default"/>
      </w:rPr>
    </w:lvl>
  </w:abstractNum>
  <w:abstractNum w:abstractNumId="41" w15:restartNumberingAfterBreak="0">
    <w:nsid w:val="63F759CD"/>
    <w:multiLevelType w:val="hybridMultilevel"/>
    <w:tmpl w:val="6FF22088"/>
    <w:lvl w:ilvl="0" w:tplc="286C320A">
      <w:start w:val="1"/>
      <w:numFmt w:val="decimal"/>
      <w:pStyle w:val="Heading4"/>
      <w:lvlText w:val="%1."/>
      <w:lvlJc w:val="left"/>
      <w:pPr>
        <w:ind w:left="360" w:hanging="360"/>
      </w:pPr>
    </w:lvl>
    <w:lvl w:ilvl="1" w:tplc="1FCE7FBA" w:tentative="1">
      <w:start w:val="1"/>
      <w:numFmt w:val="lowerLetter"/>
      <w:lvlText w:val="%2."/>
      <w:lvlJc w:val="left"/>
      <w:pPr>
        <w:ind w:left="1080" w:hanging="360"/>
      </w:pPr>
    </w:lvl>
    <w:lvl w:ilvl="2" w:tplc="951E4C12" w:tentative="1">
      <w:start w:val="1"/>
      <w:numFmt w:val="lowerRoman"/>
      <w:lvlText w:val="%3."/>
      <w:lvlJc w:val="right"/>
      <w:pPr>
        <w:ind w:left="1800" w:hanging="180"/>
      </w:pPr>
    </w:lvl>
    <w:lvl w:ilvl="3" w:tplc="A1BAF1E4" w:tentative="1">
      <w:start w:val="1"/>
      <w:numFmt w:val="decimal"/>
      <w:lvlText w:val="%4."/>
      <w:lvlJc w:val="left"/>
      <w:pPr>
        <w:ind w:left="2520" w:hanging="360"/>
      </w:pPr>
    </w:lvl>
    <w:lvl w:ilvl="4" w:tplc="5E567176" w:tentative="1">
      <w:start w:val="1"/>
      <w:numFmt w:val="lowerLetter"/>
      <w:lvlText w:val="%5."/>
      <w:lvlJc w:val="left"/>
      <w:pPr>
        <w:ind w:left="3240" w:hanging="360"/>
      </w:pPr>
    </w:lvl>
    <w:lvl w:ilvl="5" w:tplc="179658D0" w:tentative="1">
      <w:start w:val="1"/>
      <w:numFmt w:val="lowerRoman"/>
      <w:lvlText w:val="%6."/>
      <w:lvlJc w:val="right"/>
      <w:pPr>
        <w:ind w:left="3960" w:hanging="180"/>
      </w:pPr>
    </w:lvl>
    <w:lvl w:ilvl="6" w:tplc="BFF21C40" w:tentative="1">
      <w:start w:val="1"/>
      <w:numFmt w:val="decimal"/>
      <w:lvlText w:val="%7."/>
      <w:lvlJc w:val="left"/>
      <w:pPr>
        <w:ind w:left="4680" w:hanging="360"/>
      </w:pPr>
    </w:lvl>
    <w:lvl w:ilvl="7" w:tplc="130642E4" w:tentative="1">
      <w:start w:val="1"/>
      <w:numFmt w:val="lowerLetter"/>
      <w:lvlText w:val="%8."/>
      <w:lvlJc w:val="left"/>
      <w:pPr>
        <w:ind w:left="5400" w:hanging="360"/>
      </w:pPr>
    </w:lvl>
    <w:lvl w:ilvl="8" w:tplc="B5EE025E" w:tentative="1">
      <w:start w:val="1"/>
      <w:numFmt w:val="lowerRoman"/>
      <w:lvlText w:val="%9."/>
      <w:lvlJc w:val="right"/>
      <w:pPr>
        <w:ind w:left="6120" w:hanging="180"/>
      </w:pPr>
    </w:lvl>
  </w:abstractNum>
  <w:abstractNum w:abstractNumId="42" w15:restartNumberingAfterBreak="0">
    <w:nsid w:val="64124F87"/>
    <w:multiLevelType w:val="hybridMultilevel"/>
    <w:tmpl w:val="F51CD0C2"/>
    <w:lvl w:ilvl="0" w:tplc="03308346">
      <w:start w:val="1"/>
      <w:numFmt w:val="bullet"/>
      <w:pStyle w:val="Bullet2"/>
      <w:lvlText w:val=""/>
      <w:lvlJc w:val="left"/>
      <w:pPr>
        <w:ind w:left="648" w:hanging="360"/>
      </w:pPr>
      <w:rPr>
        <w:rFonts w:ascii="Symbol" w:hAnsi="Symbol" w:hint="default"/>
        <w:color w:val="7C848A"/>
      </w:rPr>
    </w:lvl>
    <w:lvl w:ilvl="1" w:tplc="B5480504" w:tentative="1">
      <w:start w:val="1"/>
      <w:numFmt w:val="bullet"/>
      <w:lvlText w:val="o"/>
      <w:lvlJc w:val="left"/>
      <w:pPr>
        <w:ind w:left="2520" w:hanging="360"/>
      </w:pPr>
      <w:rPr>
        <w:rFonts w:ascii="Courier New" w:hAnsi="Courier New" w:cs="Courier New" w:hint="default"/>
      </w:rPr>
    </w:lvl>
    <w:lvl w:ilvl="2" w:tplc="E4508FCE" w:tentative="1">
      <w:start w:val="1"/>
      <w:numFmt w:val="bullet"/>
      <w:lvlText w:val=""/>
      <w:lvlJc w:val="left"/>
      <w:pPr>
        <w:ind w:left="3240" w:hanging="360"/>
      </w:pPr>
      <w:rPr>
        <w:rFonts w:ascii="Wingdings" w:hAnsi="Wingdings" w:hint="default"/>
      </w:rPr>
    </w:lvl>
    <w:lvl w:ilvl="3" w:tplc="49A81392" w:tentative="1">
      <w:start w:val="1"/>
      <w:numFmt w:val="bullet"/>
      <w:lvlText w:val=""/>
      <w:lvlJc w:val="left"/>
      <w:pPr>
        <w:ind w:left="3960" w:hanging="360"/>
      </w:pPr>
      <w:rPr>
        <w:rFonts w:ascii="Symbol" w:hAnsi="Symbol" w:hint="default"/>
      </w:rPr>
    </w:lvl>
    <w:lvl w:ilvl="4" w:tplc="3C84F44C" w:tentative="1">
      <w:start w:val="1"/>
      <w:numFmt w:val="bullet"/>
      <w:lvlText w:val="o"/>
      <w:lvlJc w:val="left"/>
      <w:pPr>
        <w:ind w:left="4680" w:hanging="360"/>
      </w:pPr>
      <w:rPr>
        <w:rFonts w:ascii="Courier New" w:hAnsi="Courier New" w:cs="Courier New" w:hint="default"/>
      </w:rPr>
    </w:lvl>
    <w:lvl w:ilvl="5" w:tplc="A2A8B0FE" w:tentative="1">
      <w:start w:val="1"/>
      <w:numFmt w:val="bullet"/>
      <w:lvlText w:val=""/>
      <w:lvlJc w:val="left"/>
      <w:pPr>
        <w:ind w:left="5400" w:hanging="360"/>
      </w:pPr>
      <w:rPr>
        <w:rFonts w:ascii="Wingdings" w:hAnsi="Wingdings" w:hint="default"/>
      </w:rPr>
    </w:lvl>
    <w:lvl w:ilvl="6" w:tplc="903A9D46" w:tentative="1">
      <w:start w:val="1"/>
      <w:numFmt w:val="bullet"/>
      <w:lvlText w:val=""/>
      <w:lvlJc w:val="left"/>
      <w:pPr>
        <w:ind w:left="6120" w:hanging="360"/>
      </w:pPr>
      <w:rPr>
        <w:rFonts w:ascii="Symbol" w:hAnsi="Symbol" w:hint="default"/>
      </w:rPr>
    </w:lvl>
    <w:lvl w:ilvl="7" w:tplc="310C1906" w:tentative="1">
      <w:start w:val="1"/>
      <w:numFmt w:val="bullet"/>
      <w:lvlText w:val="o"/>
      <w:lvlJc w:val="left"/>
      <w:pPr>
        <w:ind w:left="6840" w:hanging="360"/>
      </w:pPr>
      <w:rPr>
        <w:rFonts w:ascii="Courier New" w:hAnsi="Courier New" w:cs="Courier New" w:hint="default"/>
      </w:rPr>
    </w:lvl>
    <w:lvl w:ilvl="8" w:tplc="84CE7CEE" w:tentative="1">
      <w:start w:val="1"/>
      <w:numFmt w:val="bullet"/>
      <w:lvlText w:val=""/>
      <w:lvlJc w:val="left"/>
      <w:pPr>
        <w:ind w:left="7560" w:hanging="360"/>
      </w:pPr>
      <w:rPr>
        <w:rFonts w:ascii="Wingdings" w:hAnsi="Wingdings" w:hint="default"/>
      </w:rPr>
    </w:lvl>
  </w:abstractNum>
  <w:abstractNum w:abstractNumId="43" w15:restartNumberingAfterBreak="0">
    <w:nsid w:val="68F539CE"/>
    <w:multiLevelType w:val="multilevel"/>
    <w:tmpl w:val="E77AC590"/>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lvl>
    <w:lvl w:ilvl="6">
      <w:start w:val="1"/>
      <w:numFmt w:val="upperLetter"/>
      <w:pStyle w:val="ListNumber2"/>
      <w:lvlText w:val="%7."/>
      <w:lvlJc w:val="left"/>
      <w:pPr>
        <w:tabs>
          <w:tab w:val="num" w:pos="720"/>
        </w:tabs>
        <w:ind w:left="720" w:hanging="360"/>
      </w:pPr>
    </w:lvl>
    <w:lvl w:ilvl="7">
      <w:start w:val="1"/>
      <w:numFmt w:val="lowerRoman"/>
      <w:pStyle w:val="ListNumber3"/>
      <w:lvlText w:val="%8."/>
      <w:lvlJc w:val="left"/>
      <w:pPr>
        <w:tabs>
          <w:tab w:val="num" w:pos="1080"/>
        </w:tabs>
        <w:ind w:left="1080" w:hanging="360"/>
      </w:pPr>
    </w:lvl>
    <w:lvl w:ilvl="8">
      <w:start w:val="1"/>
      <w:numFmt w:val="lowerLetter"/>
      <w:pStyle w:val="ListNumber4"/>
      <w:lvlText w:val="%9."/>
      <w:lvlJc w:val="left"/>
      <w:pPr>
        <w:tabs>
          <w:tab w:val="num" w:pos="1440"/>
        </w:tabs>
        <w:ind w:left="1440" w:hanging="360"/>
      </w:pPr>
    </w:lvl>
  </w:abstractNum>
  <w:abstractNum w:abstractNumId="44" w15:restartNumberingAfterBreak="0">
    <w:nsid w:val="696802BC"/>
    <w:multiLevelType w:val="hybridMultilevel"/>
    <w:tmpl w:val="2BD4F2AE"/>
    <w:lvl w:ilvl="0" w:tplc="9C169FB6">
      <w:start w:val="1"/>
      <w:numFmt w:val="lowerLetter"/>
      <w:pStyle w:val="Numbered2"/>
      <w:lvlText w:val="%1."/>
      <w:lvlJc w:val="left"/>
      <w:pPr>
        <w:ind w:left="648" w:hanging="360"/>
      </w:pPr>
      <w:rPr>
        <w:rFonts w:ascii="Arial" w:hAnsi="Arial" w:hint="default"/>
        <w:b w:val="0"/>
        <w:i w:val="0"/>
        <w:color w:val="7C848A"/>
        <w:sz w:val="22"/>
      </w:rPr>
    </w:lvl>
    <w:lvl w:ilvl="1" w:tplc="A3DCADD2" w:tentative="1">
      <w:start w:val="1"/>
      <w:numFmt w:val="lowerLetter"/>
      <w:lvlText w:val="%2."/>
      <w:lvlJc w:val="left"/>
      <w:pPr>
        <w:ind w:left="1728" w:hanging="360"/>
      </w:pPr>
    </w:lvl>
    <w:lvl w:ilvl="2" w:tplc="DA20A138" w:tentative="1">
      <w:start w:val="1"/>
      <w:numFmt w:val="lowerRoman"/>
      <w:lvlText w:val="%3."/>
      <w:lvlJc w:val="right"/>
      <w:pPr>
        <w:ind w:left="2448" w:hanging="180"/>
      </w:pPr>
    </w:lvl>
    <w:lvl w:ilvl="3" w:tplc="62F4C78C" w:tentative="1">
      <w:start w:val="1"/>
      <w:numFmt w:val="decimal"/>
      <w:lvlText w:val="%4."/>
      <w:lvlJc w:val="left"/>
      <w:pPr>
        <w:ind w:left="3168" w:hanging="360"/>
      </w:pPr>
    </w:lvl>
    <w:lvl w:ilvl="4" w:tplc="E01AE416" w:tentative="1">
      <w:start w:val="1"/>
      <w:numFmt w:val="lowerLetter"/>
      <w:lvlText w:val="%5."/>
      <w:lvlJc w:val="left"/>
      <w:pPr>
        <w:ind w:left="3888" w:hanging="360"/>
      </w:pPr>
    </w:lvl>
    <w:lvl w:ilvl="5" w:tplc="9F3687A4" w:tentative="1">
      <w:start w:val="1"/>
      <w:numFmt w:val="lowerRoman"/>
      <w:lvlText w:val="%6."/>
      <w:lvlJc w:val="right"/>
      <w:pPr>
        <w:ind w:left="4608" w:hanging="180"/>
      </w:pPr>
    </w:lvl>
    <w:lvl w:ilvl="6" w:tplc="3C12E948" w:tentative="1">
      <w:start w:val="1"/>
      <w:numFmt w:val="decimal"/>
      <w:lvlText w:val="%7."/>
      <w:lvlJc w:val="left"/>
      <w:pPr>
        <w:ind w:left="5328" w:hanging="360"/>
      </w:pPr>
    </w:lvl>
    <w:lvl w:ilvl="7" w:tplc="2A18669A" w:tentative="1">
      <w:start w:val="1"/>
      <w:numFmt w:val="lowerLetter"/>
      <w:lvlText w:val="%8."/>
      <w:lvlJc w:val="left"/>
      <w:pPr>
        <w:ind w:left="6048" w:hanging="360"/>
      </w:pPr>
    </w:lvl>
    <w:lvl w:ilvl="8" w:tplc="7B504CDE" w:tentative="1">
      <w:start w:val="1"/>
      <w:numFmt w:val="lowerRoman"/>
      <w:lvlText w:val="%9."/>
      <w:lvlJc w:val="right"/>
      <w:pPr>
        <w:ind w:left="6768" w:hanging="180"/>
      </w:pPr>
    </w:lvl>
  </w:abstractNum>
  <w:abstractNum w:abstractNumId="45" w15:restartNumberingAfterBreak="0">
    <w:nsid w:val="6E050D80"/>
    <w:multiLevelType w:val="hybridMultilevel"/>
    <w:tmpl w:val="5920B902"/>
    <w:lvl w:ilvl="0" w:tplc="77CC68BA">
      <w:start w:val="1"/>
      <w:numFmt w:val="bullet"/>
      <w:lvlText w:val=""/>
      <w:lvlJc w:val="left"/>
      <w:pPr>
        <w:ind w:left="720" w:hanging="360"/>
      </w:pPr>
      <w:rPr>
        <w:rFonts w:ascii="Symbol" w:hAnsi="Symbol" w:hint="default"/>
      </w:rPr>
    </w:lvl>
    <w:lvl w:ilvl="1" w:tplc="FD18307A" w:tentative="1">
      <w:start w:val="1"/>
      <w:numFmt w:val="bullet"/>
      <w:lvlText w:val="o"/>
      <w:lvlJc w:val="left"/>
      <w:pPr>
        <w:ind w:left="1440" w:hanging="360"/>
      </w:pPr>
      <w:rPr>
        <w:rFonts w:ascii="Courier New" w:hAnsi="Courier New" w:cs="Courier New" w:hint="default"/>
      </w:rPr>
    </w:lvl>
    <w:lvl w:ilvl="2" w:tplc="2D5C9F88" w:tentative="1">
      <w:start w:val="1"/>
      <w:numFmt w:val="bullet"/>
      <w:lvlText w:val=""/>
      <w:lvlJc w:val="left"/>
      <w:pPr>
        <w:ind w:left="2160" w:hanging="360"/>
      </w:pPr>
      <w:rPr>
        <w:rFonts w:ascii="Wingdings" w:hAnsi="Wingdings" w:hint="default"/>
      </w:rPr>
    </w:lvl>
    <w:lvl w:ilvl="3" w:tplc="9F540BC2" w:tentative="1">
      <w:start w:val="1"/>
      <w:numFmt w:val="bullet"/>
      <w:lvlText w:val=""/>
      <w:lvlJc w:val="left"/>
      <w:pPr>
        <w:ind w:left="2880" w:hanging="360"/>
      </w:pPr>
      <w:rPr>
        <w:rFonts w:ascii="Symbol" w:hAnsi="Symbol" w:hint="default"/>
      </w:rPr>
    </w:lvl>
    <w:lvl w:ilvl="4" w:tplc="83388456" w:tentative="1">
      <w:start w:val="1"/>
      <w:numFmt w:val="bullet"/>
      <w:lvlText w:val="o"/>
      <w:lvlJc w:val="left"/>
      <w:pPr>
        <w:ind w:left="3600" w:hanging="360"/>
      </w:pPr>
      <w:rPr>
        <w:rFonts w:ascii="Courier New" w:hAnsi="Courier New" w:cs="Courier New" w:hint="default"/>
      </w:rPr>
    </w:lvl>
    <w:lvl w:ilvl="5" w:tplc="80688C40" w:tentative="1">
      <w:start w:val="1"/>
      <w:numFmt w:val="bullet"/>
      <w:lvlText w:val=""/>
      <w:lvlJc w:val="left"/>
      <w:pPr>
        <w:ind w:left="4320" w:hanging="360"/>
      </w:pPr>
      <w:rPr>
        <w:rFonts w:ascii="Wingdings" w:hAnsi="Wingdings" w:hint="default"/>
      </w:rPr>
    </w:lvl>
    <w:lvl w:ilvl="6" w:tplc="1908CABA" w:tentative="1">
      <w:start w:val="1"/>
      <w:numFmt w:val="bullet"/>
      <w:lvlText w:val=""/>
      <w:lvlJc w:val="left"/>
      <w:pPr>
        <w:ind w:left="5040" w:hanging="360"/>
      </w:pPr>
      <w:rPr>
        <w:rFonts w:ascii="Symbol" w:hAnsi="Symbol" w:hint="default"/>
      </w:rPr>
    </w:lvl>
    <w:lvl w:ilvl="7" w:tplc="DA2A131E" w:tentative="1">
      <w:start w:val="1"/>
      <w:numFmt w:val="bullet"/>
      <w:lvlText w:val="o"/>
      <w:lvlJc w:val="left"/>
      <w:pPr>
        <w:ind w:left="5760" w:hanging="360"/>
      </w:pPr>
      <w:rPr>
        <w:rFonts w:ascii="Courier New" w:hAnsi="Courier New" w:cs="Courier New" w:hint="default"/>
      </w:rPr>
    </w:lvl>
    <w:lvl w:ilvl="8" w:tplc="A2947C68" w:tentative="1">
      <w:start w:val="1"/>
      <w:numFmt w:val="bullet"/>
      <w:lvlText w:val=""/>
      <w:lvlJc w:val="left"/>
      <w:pPr>
        <w:ind w:left="6480" w:hanging="360"/>
      </w:pPr>
      <w:rPr>
        <w:rFonts w:ascii="Wingdings" w:hAnsi="Wingdings" w:hint="default"/>
      </w:rPr>
    </w:lvl>
  </w:abstractNum>
  <w:abstractNum w:abstractNumId="46" w15:restartNumberingAfterBreak="0">
    <w:nsid w:val="6F611FA4"/>
    <w:multiLevelType w:val="multilevel"/>
    <w:tmpl w:val="6094AA90"/>
    <w:lvl w:ilvl="0">
      <w:start w:val="5"/>
      <w:numFmt w:val="decimal"/>
      <w:lvlText w:val="%1."/>
      <w:lvlJc w:val="left"/>
      <w:pPr>
        <w:tabs>
          <w:tab w:val="num" w:pos="720"/>
        </w:tabs>
        <w:ind w:left="720" w:hanging="720"/>
      </w:pPr>
      <w:rPr>
        <w:rFonts w:hint="default"/>
        <w:b w:val="0"/>
      </w:rPr>
    </w:lvl>
    <w:lvl w:ilvl="1">
      <w:start w:val="1"/>
      <w:numFmt w:val="lowerLetter"/>
      <w:lvlText w:val="%2."/>
      <w:lvlJc w:val="left"/>
      <w:pPr>
        <w:tabs>
          <w:tab w:val="num" w:pos="1080"/>
        </w:tabs>
        <w:ind w:left="1080" w:hanging="360"/>
      </w:pPr>
      <w:rPr>
        <w:rFonts w:hint="default"/>
      </w:rPr>
    </w:lvl>
    <w:lvl w:ilvl="2">
      <w:start w:val="8"/>
      <w:numFmt w:val="upp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7" w15:restartNumberingAfterBreak="0">
    <w:nsid w:val="6FF84F60"/>
    <w:multiLevelType w:val="multilevel"/>
    <w:tmpl w:val="AC5818EA"/>
    <w:lvl w:ilvl="0">
      <w:start w:val="3"/>
      <w:numFmt w:val="decimal"/>
      <w:lvlText w:val="%1"/>
      <w:lvlJc w:val="left"/>
      <w:pPr>
        <w:ind w:left="720" w:hanging="720"/>
      </w:pPr>
      <w:rPr>
        <w:rFonts w:hint="default"/>
        <w:b/>
      </w:rPr>
    </w:lvl>
    <w:lvl w:ilvl="1">
      <w:start w:val="1"/>
      <w:numFmt w:val="decimal"/>
      <w:lvlText w:val="%1.%2"/>
      <w:lvlJc w:val="left"/>
      <w:pPr>
        <w:ind w:left="955" w:hanging="720"/>
      </w:pPr>
      <w:rPr>
        <w:rFonts w:hint="default"/>
        <w:b/>
      </w:rPr>
    </w:lvl>
    <w:lvl w:ilvl="2">
      <w:start w:val="3"/>
      <w:numFmt w:val="decimal"/>
      <w:lvlText w:val="%1.%2.%3"/>
      <w:lvlJc w:val="left"/>
      <w:pPr>
        <w:ind w:left="1190" w:hanging="720"/>
      </w:pPr>
      <w:rPr>
        <w:rFonts w:hint="default"/>
        <w:b/>
      </w:rPr>
    </w:lvl>
    <w:lvl w:ilvl="3">
      <w:start w:val="2"/>
      <w:numFmt w:val="decimal"/>
      <w:lvlText w:val="%1.%2.%3.%4"/>
      <w:lvlJc w:val="left"/>
      <w:pPr>
        <w:ind w:left="1785" w:hanging="1080"/>
      </w:pPr>
      <w:rPr>
        <w:rFonts w:hint="default"/>
        <w:b/>
      </w:rPr>
    </w:lvl>
    <w:lvl w:ilvl="4">
      <w:start w:val="1"/>
      <w:numFmt w:val="decimal"/>
      <w:lvlText w:val="%1.%2.%3.%4.%5"/>
      <w:lvlJc w:val="left"/>
      <w:pPr>
        <w:ind w:left="2020" w:hanging="1080"/>
      </w:pPr>
      <w:rPr>
        <w:rFonts w:hint="default"/>
        <w:b/>
      </w:rPr>
    </w:lvl>
    <w:lvl w:ilvl="5">
      <w:start w:val="1"/>
      <w:numFmt w:val="decimal"/>
      <w:lvlText w:val="%1.%2.%3.%4.%5.%6"/>
      <w:lvlJc w:val="left"/>
      <w:pPr>
        <w:ind w:left="2615" w:hanging="1440"/>
      </w:pPr>
      <w:rPr>
        <w:rFonts w:hint="default"/>
        <w:b/>
      </w:rPr>
    </w:lvl>
    <w:lvl w:ilvl="6">
      <w:start w:val="1"/>
      <w:numFmt w:val="decimal"/>
      <w:lvlText w:val="%1.%2.%3.%4.%5.%6.%7"/>
      <w:lvlJc w:val="left"/>
      <w:pPr>
        <w:ind w:left="2850" w:hanging="1440"/>
      </w:pPr>
      <w:rPr>
        <w:rFonts w:hint="default"/>
        <w:b/>
      </w:rPr>
    </w:lvl>
    <w:lvl w:ilvl="7">
      <w:start w:val="1"/>
      <w:numFmt w:val="decimal"/>
      <w:lvlText w:val="%1.%2.%3.%4.%5.%6.%7.%8"/>
      <w:lvlJc w:val="left"/>
      <w:pPr>
        <w:ind w:left="3445" w:hanging="1800"/>
      </w:pPr>
      <w:rPr>
        <w:rFonts w:hint="default"/>
        <w:b/>
      </w:rPr>
    </w:lvl>
    <w:lvl w:ilvl="8">
      <w:start w:val="1"/>
      <w:numFmt w:val="decimal"/>
      <w:lvlText w:val="%1.%2.%3.%4.%5.%6.%7.%8.%9"/>
      <w:lvlJc w:val="left"/>
      <w:pPr>
        <w:ind w:left="3680" w:hanging="1800"/>
      </w:pPr>
      <w:rPr>
        <w:rFonts w:hint="default"/>
        <w:b/>
      </w:rPr>
    </w:lvl>
  </w:abstractNum>
  <w:abstractNum w:abstractNumId="48" w15:restartNumberingAfterBreak="0">
    <w:nsid w:val="712C6B77"/>
    <w:multiLevelType w:val="hybridMultilevel"/>
    <w:tmpl w:val="808278F0"/>
    <w:lvl w:ilvl="0" w:tplc="283C03D6">
      <w:start w:val="1"/>
      <w:numFmt w:val="decimal"/>
      <w:pStyle w:val="Heading3-numbered"/>
      <w:lvlText w:val="%1."/>
      <w:lvlJc w:val="left"/>
      <w:pPr>
        <w:ind w:left="360" w:hanging="360"/>
      </w:pPr>
      <w:rPr>
        <w:b/>
        <w:i w:val="0"/>
        <w:color w:val="auto"/>
        <w:sz w:val="28"/>
        <w:szCs w:val="28"/>
      </w:rPr>
    </w:lvl>
    <w:lvl w:ilvl="1" w:tplc="6952C484" w:tentative="1">
      <w:start w:val="1"/>
      <w:numFmt w:val="lowerLetter"/>
      <w:lvlText w:val="%2."/>
      <w:lvlJc w:val="left"/>
      <w:pPr>
        <w:ind w:left="1080" w:hanging="360"/>
      </w:pPr>
    </w:lvl>
    <w:lvl w:ilvl="2" w:tplc="7C36A304" w:tentative="1">
      <w:start w:val="1"/>
      <w:numFmt w:val="lowerRoman"/>
      <w:lvlText w:val="%3."/>
      <w:lvlJc w:val="right"/>
      <w:pPr>
        <w:ind w:left="1800" w:hanging="180"/>
      </w:pPr>
    </w:lvl>
    <w:lvl w:ilvl="3" w:tplc="4530A206" w:tentative="1">
      <w:start w:val="1"/>
      <w:numFmt w:val="decimal"/>
      <w:lvlText w:val="%4."/>
      <w:lvlJc w:val="left"/>
      <w:pPr>
        <w:ind w:left="2520" w:hanging="360"/>
      </w:pPr>
    </w:lvl>
    <w:lvl w:ilvl="4" w:tplc="4C98E6E0" w:tentative="1">
      <w:start w:val="1"/>
      <w:numFmt w:val="lowerLetter"/>
      <w:lvlText w:val="%5."/>
      <w:lvlJc w:val="left"/>
      <w:pPr>
        <w:ind w:left="3240" w:hanging="360"/>
      </w:pPr>
    </w:lvl>
    <w:lvl w:ilvl="5" w:tplc="CE10C3F8" w:tentative="1">
      <w:start w:val="1"/>
      <w:numFmt w:val="lowerRoman"/>
      <w:lvlText w:val="%6."/>
      <w:lvlJc w:val="right"/>
      <w:pPr>
        <w:ind w:left="3960" w:hanging="180"/>
      </w:pPr>
    </w:lvl>
    <w:lvl w:ilvl="6" w:tplc="995A9680" w:tentative="1">
      <w:start w:val="1"/>
      <w:numFmt w:val="decimal"/>
      <w:lvlText w:val="%7."/>
      <w:lvlJc w:val="left"/>
      <w:pPr>
        <w:ind w:left="4680" w:hanging="360"/>
      </w:pPr>
    </w:lvl>
    <w:lvl w:ilvl="7" w:tplc="20E8E9BC" w:tentative="1">
      <w:start w:val="1"/>
      <w:numFmt w:val="lowerLetter"/>
      <w:lvlText w:val="%8."/>
      <w:lvlJc w:val="left"/>
      <w:pPr>
        <w:ind w:left="5400" w:hanging="360"/>
      </w:pPr>
    </w:lvl>
    <w:lvl w:ilvl="8" w:tplc="5EDC9DBC" w:tentative="1">
      <w:start w:val="1"/>
      <w:numFmt w:val="lowerRoman"/>
      <w:lvlText w:val="%9."/>
      <w:lvlJc w:val="right"/>
      <w:pPr>
        <w:ind w:left="6120" w:hanging="180"/>
      </w:pPr>
    </w:lvl>
  </w:abstractNum>
  <w:abstractNum w:abstractNumId="49" w15:restartNumberingAfterBreak="0">
    <w:nsid w:val="72DA6FE9"/>
    <w:multiLevelType w:val="hybridMultilevel"/>
    <w:tmpl w:val="EC227D8A"/>
    <w:lvl w:ilvl="0" w:tplc="86F04218">
      <w:start w:val="1"/>
      <w:numFmt w:val="bullet"/>
      <w:pStyle w:val="Bullet3"/>
      <w:lvlText w:val="&gt;"/>
      <w:lvlJc w:val="left"/>
      <w:pPr>
        <w:ind w:left="1152" w:hanging="360"/>
      </w:pPr>
      <w:rPr>
        <w:rFonts w:ascii="Arial" w:hAnsi="Arial" w:hint="default"/>
        <w:color w:val="7C848A"/>
      </w:rPr>
    </w:lvl>
    <w:lvl w:ilvl="1" w:tplc="04B4C1AA" w:tentative="1">
      <w:start w:val="1"/>
      <w:numFmt w:val="bullet"/>
      <w:lvlText w:val="o"/>
      <w:lvlJc w:val="left"/>
      <w:pPr>
        <w:ind w:left="1872" w:hanging="360"/>
      </w:pPr>
      <w:rPr>
        <w:rFonts w:ascii="Courier New" w:hAnsi="Courier New" w:cs="Courier New" w:hint="default"/>
      </w:rPr>
    </w:lvl>
    <w:lvl w:ilvl="2" w:tplc="30F80EDE" w:tentative="1">
      <w:start w:val="1"/>
      <w:numFmt w:val="bullet"/>
      <w:lvlText w:val=""/>
      <w:lvlJc w:val="left"/>
      <w:pPr>
        <w:ind w:left="2592" w:hanging="360"/>
      </w:pPr>
      <w:rPr>
        <w:rFonts w:ascii="Wingdings" w:hAnsi="Wingdings" w:hint="default"/>
      </w:rPr>
    </w:lvl>
    <w:lvl w:ilvl="3" w:tplc="A4FE1B6E" w:tentative="1">
      <w:start w:val="1"/>
      <w:numFmt w:val="bullet"/>
      <w:lvlText w:val=""/>
      <w:lvlJc w:val="left"/>
      <w:pPr>
        <w:ind w:left="3312" w:hanging="360"/>
      </w:pPr>
      <w:rPr>
        <w:rFonts w:ascii="Symbol" w:hAnsi="Symbol" w:hint="default"/>
      </w:rPr>
    </w:lvl>
    <w:lvl w:ilvl="4" w:tplc="C1EC0A44" w:tentative="1">
      <w:start w:val="1"/>
      <w:numFmt w:val="bullet"/>
      <w:lvlText w:val="o"/>
      <w:lvlJc w:val="left"/>
      <w:pPr>
        <w:ind w:left="4032" w:hanging="360"/>
      </w:pPr>
      <w:rPr>
        <w:rFonts w:ascii="Courier New" w:hAnsi="Courier New" w:cs="Courier New" w:hint="default"/>
      </w:rPr>
    </w:lvl>
    <w:lvl w:ilvl="5" w:tplc="4CEC6862" w:tentative="1">
      <w:start w:val="1"/>
      <w:numFmt w:val="bullet"/>
      <w:lvlText w:val=""/>
      <w:lvlJc w:val="left"/>
      <w:pPr>
        <w:ind w:left="4752" w:hanging="360"/>
      </w:pPr>
      <w:rPr>
        <w:rFonts w:ascii="Wingdings" w:hAnsi="Wingdings" w:hint="default"/>
      </w:rPr>
    </w:lvl>
    <w:lvl w:ilvl="6" w:tplc="DE9CBA16" w:tentative="1">
      <w:start w:val="1"/>
      <w:numFmt w:val="bullet"/>
      <w:lvlText w:val=""/>
      <w:lvlJc w:val="left"/>
      <w:pPr>
        <w:ind w:left="5472" w:hanging="360"/>
      </w:pPr>
      <w:rPr>
        <w:rFonts w:ascii="Symbol" w:hAnsi="Symbol" w:hint="default"/>
      </w:rPr>
    </w:lvl>
    <w:lvl w:ilvl="7" w:tplc="65A835CA" w:tentative="1">
      <w:start w:val="1"/>
      <w:numFmt w:val="bullet"/>
      <w:lvlText w:val="o"/>
      <w:lvlJc w:val="left"/>
      <w:pPr>
        <w:ind w:left="6192" w:hanging="360"/>
      </w:pPr>
      <w:rPr>
        <w:rFonts w:ascii="Courier New" w:hAnsi="Courier New" w:cs="Courier New" w:hint="default"/>
      </w:rPr>
    </w:lvl>
    <w:lvl w:ilvl="8" w:tplc="067C1E62" w:tentative="1">
      <w:start w:val="1"/>
      <w:numFmt w:val="bullet"/>
      <w:lvlText w:val=""/>
      <w:lvlJc w:val="left"/>
      <w:pPr>
        <w:ind w:left="6912" w:hanging="360"/>
      </w:pPr>
      <w:rPr>
        <w:rFonts w:ascii="Wingdings" w:hAnsi="Wingdings" w:hint="default"/>
      </w:rPr>
    </w:lvl>
  </w:abstractNum>
  <w:abstractNum w:abstractNumId="50" w15:restartNumberingAfterBreak="0">
    <w:nsid w:val="73752107"/>
    <w:multiLevelType w:val="hybridMultilevel"/>
    <w:tmpl w:val="0E7E5B42"/>
    <w:lvl w:ilvl="0" w:tplc="F71EF0F8">
      <w:start w:val="1"/>
      <w:numFmt w:val="decimal"/>
      <w:lvlText w:val="%1."/>
      <w:lvlJc w:val="left"/>
      <w:pPr>
        <w:ind w:left="720" w:hanging="360"/>
      </w:pPr>
      <w:rPr>
        <w:rFonts w:hint="default"/>
      </w:rPr>
    </w:lvl>
    <w:lvl w:ilvl="1" w:tplc="22743C6C">
      <w:start w:val="2"/>
      <w:numFmt w:val="bullet"/>
      <w:lvlText w:val="•"/>
      <w:lvlJc w:val="left"/>
      <w:pPr>
        <w:ind w:left="1440" w:hanging="360"/>
      </w:pPr>
      <w:rPr>
        <w:rFonts w:ascii="Arial" w:eastAsia="Times New Roman" w:hAnsi="Arial" w:cs="Arial" w:hint="default"/>
      </w:rPr>
    </w:lvl>
    <w:lvl w:ilvl="2" w:tplc="84A676D0" w:tentative="1">
      <w:start w:val="1"/>
      <w:numFmt w:val="lowerRoman"/>
      <w:lvlText w:val="%3."/>
      <w:lvlJc w:val="right"/>
      <w:pPr>
        <w:ind w:left="2160" w:hanging="180"/>
      </w:pPr>
    </w:lvl>
    <w:lvl w:ilvl="3" w:tplc="7BE46416" w:tentative="1">
      <w:start w:val="1"/>
      <w:numFmt w:val="decimal"/>
      <w:lvlText w:val="%4."/>
      <w:lvlJc w:val="left"/>
      <w:pPr>
        <w:ind w:left="2880" w:hanging="360"/>
      </w:pPr>
    </w:lvl>
    <w:lvl w:ilvl="4" w:tplc="F48888B8" w:tentative="1">
      <w:start w:val="1"/>
      <w:numFmt w:val="lowerLetter"/>
      <w:lvlText w:val="%5."/>
      <w:lvlJc w:val="left"/>
      <w:pPr>
        <w:ind w:left="3600" w:hanging="360"/>
      </w:pPr>
    </w:lvl>
    <w:lvl w:ilvl="5" w:tplc="A5CACA4C" w:tentative="1">
      <w:start w:val="1"/>
      <w:numFmt w:val="lowerRoman"/>
      <w:lvlText w:val="%6."/>
      <w:lvlJc w:val="right"/>
      <w:pPr>
        <w:ind w:left="4320" w:hanging="180"/>
      </w:pPr>
    </w:lvl>
    <w:lvl w:ilvl="6" w:tplc="5CDE3756" w:tentative="1">
      <w:start w:val="1"/>
      <w:numFmt w:val="decimal"/>
      <w:lvlText w:val="%7."/>
      <w:lvlJc w:val="left"/>
      <w:pPr>
        <w:ind w:left="5040" w:hanging="360"/>
      </w:pPr>
    </w:lvl>
    <w:lvl w:ilvl="7" w:tplc="536CC048" w:tentative="1">
      <w:start w:val="1"/>
      <w:numFmt w:val="lowerLetter"/>
      <w:lvlText w:val="%8."/>
      <w:lvlJc w:val="left"/>
      <w:pPr>
        <w:ind w:left="5760" w:hanging="360"/>
      </w:pPr>
    </w:lvl>
    <w:lvl w:ilvl="8" w:tplc="0D98E4C0" w:tentative="1">
      <w:start w:val="1"/>
      <w:numFmt w:val="lowerRoman"/>
      <w:lvlText w:val="%9."/>
      <w:lvlJc w:val="right"/>
      <w:pPr>
        <w:ind w:left="6480" w:hanging="180"/>
      </w:pPr>
    </w:lvl>
  </w:abstractNum>
  <w:abstractNum w:abstractNumId="51" w15:restartNumberingAfterBreak="0">
    <w:nsid w:val="73C81E5B"/>
    <w:multiLevelType w:val="multilevel"/>
    <w:tmpl w:val="AA309C7C"/>
    <w:lvl w:ilvl="0">
      <w:start w:val="12"/>
      <w:numFmt w:val="decimal"/>
      <w:lvlText w:val="%1."/>
      <w:lvlJc w:val="left"/>
      <w:pPr>
        <w:tabs>
          <w:tab w:val="num" w:pos="1004"/>
        </w:tabs>
        <w:ind w:left="1004" w:hanging="720"/>
      </w:pPr>
      <w:rPr>
        <w:rFonts w:hint="default"/>
        <w:b w:val="0"/>
      </w:rPr>
    </w:lvl>
    <w:lvl w:ilvl="1">
      <w:start w:val="1"/>
      <w:numFmt w:val="lowerLetter"/>
      <w:lvlText w:val="%2."/>
      <w:lvlJc w:val="left"/>
      <w:pPr>
        <w:tabs>
          <w:tab w:val="num" w:pos="1364"/>
        </w:tabs>
        <w:ind w:left="1364" w:hanging="360"/>
      </w:pPr>
      <w:rPr>
        <w:rFonts w:hint="default"/>
      </w:rPr>
    </w:lvl>
    <w:lvl w:ilvl="2">
      <w:start w:val="8"/>
      <w:numFmt w:val="upperLetter"/>
      <w:lvlText w:val="%3."/>
      <w:lvlJc w:val="left"/>
      <w:pPr>
        <w:ind w:left="2264" w:hanging="360"/>
      </w:pPr>
      <w:rPr>
        <w:rFonts w:hint="default"/>
      </w:rPr>
    </w:lvl>
    <w:lvl w:ilvl="3">
      <w:start w:val="1"/>
      <w:numFmt w:val="decimal"/>
      <w:lvlText w:val="(%4)"/>
      <w:lvlJc w:val="left"/>
      <w:pPr>
        <w:ind w:left="2804" w:hanging="360"/>
      </w:pPr>
      <w:rPr>
        <w:rFonts w:hint="default"/>
      </w:rPr>
    </w:lvl>
    <w:lvl w:ilvl="4">
      <w:start w:val="1"/>
      <w:numFmt w:val="lowerLetter"/>
      <w:lvlText w:val="%5."/>
      <w:lvlJc w:val="left"/>
      <w:pPr>
        <w:tabs>
          <w:tab w:val="num" w:pos="3524"/>
        </w:tabs>
        <w:ind w:left="3524" w:hanging="360"/>
      </w:pPr>
      <w:rPr>
        <w:rFonts w:hint="default"/>
      </w:rPr>
    </w:lvl>
    <w:lvl w:ilvl="5">
      <w:start w:val="1"/>
      <w:numFmt w:val="lowerRoman"/>
      <w:lvlText w:val="%6."/>
      <w:lvlJc w:val="right"/>
      <w:pPr>
        <w:tabs>
          <w:tab w:val="num" w:pos="4244"/>
        </w:tabs>
        <w:ind w:left="4244" w:hanging="180"/>
      </w:pPr>
      <w:rPr>
        <w:rFonts w:hint="default"/>
      </w:rPr>
    </w:lvl>
    <w:lvl w:ilvl="6">
      <w:start w:val="1"/>
      <w:numFmt w:val="decimal"/>
      <w:lvlText w:val="%7."/>
      <w:lvlJc w:val="left"/>
      <w:pPr>
        <w:tabs>
          <w:tab w:val="num" w:pos="4964"/>
        </w:tabs>
        <w:ind w:left="4964" w:hanging="360"/>
      </w:pPr>
      <w:rPr>
        <w:rFonts w:hint="default"/>
      </w:rPr>
    </w:lvl>
    <w:lvl w:ilvl="7">
      <w:start w:val="1"/>
      <w:numFmt w:val="lowerLetter"/>
      <w:lvlText w:val="%8."/>
      <w:lvlJc w:val="left"/>
      <w:pPr>
        <w:tabs>
          <w:tab w:val="num" w:pos="5684"/>
        </w:tabs>
        <w:ind w:left="5684" w:hanging="360"/>
      </w:pPr>
      <w:rPr>
        <w:rFonts w:hint="default"/>
      </w:rPr>
    </w:lvl>
    <w:lvl w:ilvl="8">
      <w:start w:val="1"/>
      <w:numFmt w:val="lowerRoman"/>
      <w:lvlText w:val="%9."/>
      <w:lvlJc w:val="right"/>
      <w:pPr>
        <w:tabs>
          <w:tab w:val="num" w:pos="6404"/>
        </w:tabs>
        <w:ind w:left="6404" w:hanging="180"/>
      </w:pPr>
      <w:rPr>
        <w:rFonts w:hint="default"/>
      </w:rPr>
    </w:lvl>
  </w:abstractNum>
  <w:abstractNum w:abstractNumId="52" w15:restartNumberingAfterBreak="0">
    <w:nsid w:val="7A0035B4"/>
    <w:multiLevelType w:val="hybridMultilevel"/>
    <w:tmpl w:val="DA465962"/>
    <w:lvl w:ilvl="0" w:tplc="EA904B0A">
      <w:start w:val="1"/>
      <w:numFmt w:val="decimal"/>
      <w:pStyle w:val="Numbered1"/>
      <w:lvlText w:val="%1."/>
      <w:lvlJc w:val="left"/>
      <w:pPr>
        <w:ind w:left="720" w:hanging="360"/>
      </w:pPr>
      <w:rPr>
        <w:rFonts w:ascii="Arial" w:hAnsi="Arial" w:hint="default"/>
        <w:b w:val="0"/>
        <w:i w:val="0"/>
        <w:color w:val="6D6E70"/>
        <w:sz w:val="22"/>
      </w:rPr>
    </w:lvl>
    <w:lvl w:ilvl="1" w:tplc="52BC9162" w:tentative="1">
      <w:start w:val="1"/>
      <w:numFmt w:val="lowerLetter"/>
      <w:lvlText w:val="%2."/>
      <w:lvlJc w:val="left"/>
      <w:pPr>
        <w:ind w:left="1440" w:hanging="360"/>
      </w:pPr>
    </w:lvl>
    <w:lvl w:ilvl="2" w:tplc="FF482FA2" w:tentative="1">
      <w:start w:val="1"/>
      <w:numFmt w:val="lowerRoman"/>
      <w:lvlText w:val="%3."/>
      <w:lvlJc w:val="right"/>
      <w:pPr>
        <w:ind w:left="2160" w:hanging="180"/>
      </w:pPr>
    </w:lvl>
    <w:lvl w:ilvl="3" w:tplc="BBD6AF14" w:tentative="1">
      <w:start w:val="1"/>
      <w:numFmt w:val="decimal"/>
      <w:lvlText w:val="%4."/>
      <w:lvlJc w:val="left"/>
      <w:pPr>
        <w:ind w:left="2880" w:hanging="360"/>
      </w:pPr>
    </w:lvl>
    <w:lvl w:ilvl="4" w:tplc="3ADA4742" w:tentative="1">
      <w:start w:val="1"/>
      <w:numFmt w:val="lowerLetter"/>
      <w:lvlText w:val="%5."/>
      <w:lvlJc w:val="left"/>
      <w:pPr>
        <w:ind w:left="3600" w:hanging="360"/>
      </w:pPr>
    </w:lvl>
    <w:lvl w:ilvl="5" w:tplc="441A224A" w:tentative="1">
      <w:start w:val="1"/>
      <w:numFmt w:val="lowerRoman"/>
      <w:lvlText w:val="%6."/>
      <w:lvlJc w:val="right"/>
      <w:pPr>
        <w:ind w:left="4320" w:hanging="180"/>
      </w:pPr>
    </w:lvl>
    <w:lvl w:ilvl="6" w:tplc="CB1213C8" w:tentative="1">
      <w:start w:val="1"/>
      <w:numFmt w:val="decimal"/>
      <w:lvlText w:val="%7."/>
      <w:lvlJc w:val="left"/>
      <w:pPr>
        <w:ind w:left="5040" w:hanging="360"/>
      </w:pPr>
    </w:lvl>
    <w:lvl w:ilvl="7" w:tplc="408CAE2E" w:tentative="1">
      <w:start w:val="1"/>
      <w:numFmt w:val="lowerLetter"/>
      <w:lvlText w:val="%8."/>
      <w:lvlJc w:val="left"/>
      <w:pPr>
        <w:ind w:left="5760" w:hanging="360"/>
      </w:pPr>
    </w:lvl>
    <w:lvl w:ilvl="8" w:tplc="C0C26DDC" w:tentative="1">
      <w:start w:val="1"/>
      <w:numFmt w:val="lowerRoman"/>
      <w:lvlText w:val="%9."/>
      <w:lvlJc w:val="right"/>
      <w:pPr>
        <w:ind w:left="6480" w:hanging="180"/>
      </w:pPr>
    </w:lvl>
  </w:abstractNum>
  <w:abstractNum w:abstractNumId="53" w15:restartNumberingAfterBreak="0">
    <w:nsid w:val="7B262575"/>
    <w:multiLevelType w:val="hybridMultilevel"/>
    <w:tmpl w:val="85F6AB5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C826137"/>
    <w:multiLevelType w:val="hybridMultilevel"/>
    <w:tmpl w:val="60725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CFB7B74"/>
    <w:multiLevelType w:val="singleLevel"/>
    <w:tmpl w:val="08090001"/>
    <w:lvl w:ilvl="0">
      <w:start w:val="1"/>
      <w:numFmt w:val="bullet"/>
      <w:pStyle w:val="Bodytextnumbered"/>
      <w:lvlText w:val=""/>
      <w:lvlJc w:val="left"/>
      <w:pPr>
        <w:tabs>
          <w:tab w:val="num" w:pos="360"/>
        </w:tabs>
        <w:ind w:left="360" w:hanging="360"/>
      </w:pPr>
      <w:rPr>
        <w:rFonts w:ascii="Symbol" w:hAnsi="Symbol" w:hint="default"/>
      </w:rPr>
    </w:lvl>
  </w:abstractNum>
  <w:abstractNum w:abstractNumId="56" w15:restartNumberingAfterBreak="0">
    <w:nsid w:val="7FC62530"/>
    <w:multiLevelType w:val="hybridMultilevel"/>
    <w:tmpl w:val="BADC3440"/>
    <w:lvl w:ilvl="0" w:tplc="3CE468AE">
      <w:start w:val="1"/>
      <w:numFmt w:val="bullet"/>
      <w:lvlText w:val=""/>
      <w:lvlJc w:val="left"/>
      <w:pPr>
        <w:ind w:left="720" w:hanging="360"/>
      </w:pPr>
      <w:rPr>
        <w:rFonts w:ascii="Symbol" w:hAnsi="Symbol" w:hint="default"/>
      </w:rPr>
    </w:lvl>
    <w:lvl w:ilvl="1" w:tplc="3A24CC6A" w:tentative="1">
      <w:start w:val="1"/>
      <w:numFmt w:val="bullet"/>
      <w:lvlText w:val="o"/>
      <w:lvlJc w:val="left"/>
      <w:pPr>
        <w:ind w:left="1440" w:hanging="360"/>
      </w:pPr>
      <w:rPr>
        <w:rFonts w:ascii="Courier New" w:hAnsi="Courier New" w:cs="Courier New" w:hint="default"/>
      </w:rPr>
    </w:lvl>
    <w:lvl w:ilvl="2" w:tplc="89A87854" w:tentative="1">
      <w:start w:val="1"/>
      <w:numFmt w:val="bullet"/>
      <w:lvlText w:val=""/>
      <w:lvlJc w:val="left"/>
      <w:pPr>
        <w:ind w:left="2160" w:hanging="360"/>
      </w:pPr>
      <w:rPr>
        <w:rFonts w:ascii="Wingdings" w:hAnsi="Wingdings" w:hint="default"/>
      </w:rPr>
    </w:lvl>
    <w:lvl w:ilvl="3" w:tplc="94783490" w:tentative="1">
      <w:start w:val="1"/>
      <w:numFmt w:val="bullet"/>
      <w:lvlText w:val=""/>
      <w:lvlJc w:val="left"/>
      <w:pPr>
        <w:ind w:left="2880" w:hanging="360"/>
      </w:pPr>
      <w:rPr>
        <w:rFonts w:ascii="Symbol" w:hAnsi="Symbol" w:hint="default"/>
      </w:rPr>
    </w:lvl>
    <w:lvl w:ilvl="4" w:tplc="BFD86B84" w:tentative="1">
      <w:start w:val="1"/>
      <w:numFmt w:val="bullet"/>
      <w:lvlText w:val="o"/>
      <w:lvlJc w:val="left"/>
      <w:pPr>
        <w:ind w:left="3600" w:hanging="360"/>
      </w:pPr>
      <w:rPr>
        <w:rFonts w:ascii="Courier New" w:hAnsi="Courier New" w:cs="Courier New" w:hint="default"/>
      </w:rPr>
    </w:lvl>
    <w:lvl w:ilvl="5" w:tplc="1B1EC4D6" w:tentative="1">
      <w:start w:val="1"/>
      <w:numFmt w:val="bullet"/>
      <w:lvlText w:val=""/>
      <w:lvlJc w:val="left"/>
      <w:pPr>
        <w:ind w:left="4320" w:hanging="360"/>
      </w:pPr>
      <w:rPr>
        <w:rFonts w:ascii="Wingdings" w:hAnsi="Wingdings" w:hint="default"/>
      </w:rPr>
    </w:lvl>
    <w:lvl w:ilvl="6" w:tplc="D0087098" w:tentative="1">
      <w:start w:val="1"/>
      <w:numFmt w:val="bullet"/>
      <w:lvlText w:val=""/>
      <w:lvlJc w:val="left"/>
      <w:pPr>
        <w:ind w:left="5040" w:hanging="360"/>
      </w:pPr>
      <w:rPr>
        <w:rFonts w:ascii="Symbol" w:hAnsi="Symbol" w:hint="default"/>
      </w:rPr>
    </w:lvl>
    <w:lvl w:ilvl="7" w:tplc="DB20FBE6" w:tentative="1">
      <w:start w:val="1"/>
      <w:numFmt w:val="bullet"/>
      <w:lvlText w:val="o"/>
      <w:lvlJc w:val="left"/>
      <w:pPr>
        <w:ind w:left="5760" w:hanging="360"/>
      </w:pPr>
      <w:rPr>
        <w:rFonts w:ascii="Courier New" w:hAnsi="Courier New" w:cs="Courier New" w:hint="default"/>
      </w:rPr>
    </w:lvl>
    <w:lvl w:ilvl="8" w:tplc="4B3C89A6"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48"/>
  </w:num>
  <w:num w:numId="4">
    <w:abstractNumId w:val="41"/>
  </w:num>
  <w:num w:numId="5">
    <w:abstractNumId w:val="17"/>
  </w:num>
  <w:num w:numId="6">
    <w:abstractNumId w:val="46"/>
  </w:num>
  <w:num w:numId="7">
    <w:abstractNumId w:val="30"/>
  </w:num>
  <w:num w:numId="8">
    <w:abstractNumId w:val="22"/>
  </w:num>
  <w:num w:numId="9">
    <w:abstractNumId w:val="35"/>
  </w:num>
  <w:num w:numId="10">
    <w:abstractNumId w:val="11"/>
  </w:num>
  <w:num w:numId="11">
    <w:abstractNumId w:val="7"/>
  </w:num>
  <w:num w:numId="12">
    <w:abstractNumId w:val="47"/>
  </w:num>
  <w:num w:numId="13">
    <w:abstractNumId w:val="2"/>
  </w:num>
  <w:num w:numId="14">
    <w:abstractNumId w:val="23"/>
  </w:num>
  <w:num w:numId="15">
    <w:abstractNumId w:val="37"/>
  </w:num>
  <w:num w:numId="16">
    <w:abstractNumId w:val="43"/>
  </w:num>
  <w:num w:numId="17">
    <w:abstractNumId w:val="9"/>
  </w:num>
  <w:num w:numId="18">
    <w:abstractNumId w:val="18"/>
  </w:num>
  <w:num w:numId="19">
    <w:abstractNumId w:val="45"/>
  </w:num>
  <w:num w:numId="20">
    <w:abstractNumId w:val="8"/>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51"/>
  </w:num>
  <w:num w:numId="23">
    <w:abstractNumId w:val="36"/>
  </w:num>
  <w:num w:numId="24">
    <w:abstractNumId w:val="24"/>
  </w:num>
  <w:num w:numId="25">
    <w:abstractNumId w:val="29"/>
  </w:num>
  <w:num w:numId="26">
    <w:abstractNumId w:val="14"/>
  </w:num>
  <w:num w:numId="27">
    <w:abstractNumId w:val="55"/>
  </w:num>
  <w:num w:numId="28">
    <w:abstractNumId w:val="34"/>
  </w:num>
  <w:num w:numId="29">
    <w:abstractNumId w:val="4"/>
  </w:num>
  <w:num w:numId="30">
    <w:abstractNumId w:val="38"/>
  </w:num>
  <w:num w:numId="31">
    <w:abstractNumId w:val="3"/>
  </w:num>
  <w:num w:numId="32">
    <w:abstractNumId w:val="56"/>
  </w:num>
  <w:num w:numId="33">
    <w:abstractNumId w:val="15"/>
  </w:num>
  <w:num w:numId="34">
    <w:abstractNumId w:val="33"/>
  </w:num>
  <w:num w:numId="35">
    <w:abstractNumId w:val="32"/>
  </w:num>
  <w:num w:numId="36">
    <w:abstractNumId w:val="1"/>
  </w:num>
  <w:num w:numId="37">
    <w:abstractNumId w:val="28"/>
  </w:num>
  <w:num w:numId="38">
    <w:abstractNumId w:val="26"/>
  </w:num>
  <w:num w:numId="39">
    <w:abstractNumId w:val="21"/>
  </w:num>
  <w:num w:numId="40">
    <w:abstractNumId w:val="16"/>
  </w:num>
  <w:num w:numId="41">
    <w:abstractNumId w:val="20"/>
  </w:num>
  <w:num w:numId="42">
    <w:abstractNumId w:val="12"/>
  </w:num>
  <w:num w:numId="43">
    <w:abstractNumId w:val="42"/>
  </w:num>
  <w:num w:numId="44">
    <w:abstractNumId w:val="49"/>
  </w:num>
  <w:num w:numId="45">
    <w:abstractNumId w:val="52"/>
  </w:num>
  <w:num w:numId="46">
    <w:abstractNumId w:val="44"/>
  </w:num>
  <w:num w:numId="47">
    <w:abstractNumId w:val="31"/>
  </w:num>
  <w:num w:numId="48">
    <w:abstractNumId w:val="50"/>
  </w:num>
  <w:num w:numId="49">
    <w:abstractNumId w:val="6"/>
  </w:num>
  <w:num w:numId="50">
    <w:abstractNumId w:val="5"/>
  </w:num>
  <w:num w:numId="51">
    <w:abstractNumId w:val="10"/>
  </w:num>
  <w:num w:numId="52">
    <w:abstractNumId w:val="40"/>
  </w:num>
  <w:num w:numId="53">
    <w:abstractNumId w:val="54"/>
  </w:num>
  <w:num w:numId="54">
    <w:abstractNumId w:val="13"/>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53"/>
  </w:num>
  <w:num w:numId="58">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D59"/>
    <w:rsid w:val="00013AC8"/>
    <w:rsid w:val="0001644D"/>
    <w:rsid w:val="000169D6"/>
    <w:rsid w:val="00033F98"/>
    <w:rsid w:val="00042822"/>
    <w:rsid w:val="0006578C"/>
    <w:rsid w:val="00090E62"/>
    <w:rsid w:val="000C158F"/>
    <w:rsid w:val="000D1CED"/>
    <w:rsid w:val="000D294B"/>
    <w:rsid w:val="000D4CCF"/>
    <w:rsid w:val="000E4EE7"/>
    <w:rsid w:val="001117AE"/>
    <w:rsid w:val="0011793E"/>
    <w:rsid w:val="00121534"/>
    <w:rsid w:val="00143E8E"/>
    <w:rsid w:val="00161AA3"/>
    <w:rsid w:val="001A4667"/>
    <w:rsid w:val="001F1273"/>
    <w:rsid w:val="00200354"/>
    <w:rsid w:val="0020431D"/>
    <w:rsid w:val="0023599A"/>
    <w:rsid w:val="0029126C"/>
    <w:rsid w:val="002A31F3"/>
    <w:rsid w:val="002A4478"/>
    <w:rsid w:val="002A66AE"/>
    <w:rsid w:val="002D2C95"/>
    <w:rsid w:val="00310C84"/>
    <w:rsid w:val="003323F2"/>
    <w:rsid w:val="00372848"/>
    <w:rsid w:val="00384F1A"/>
    <w:rsid w:val="00390B87"/>
    <w:rsid w:val="003A37EE"/>
    <w:rsid w:val="003B509A"/>
    <w:rsid w:val="003D686D"/>
    <w:rsid w:val="003F223A"/>
    <w:rsid w:val="003F2D65"/>
    <w:rsid w:val="00404904"/>
    <w:rsid w:val="00407292"/>
    <w:rsid w:val="00424687"/>
    <w:rsid w:val="00470725"/>
    <w:rsid w:val="004A1776"/>
    <w:rsid w:val="004B2C8F"/>
    <w:rsid w:val="004F6B72"/>
    <w:rsid w:val="00532F58"/>
    <w:rsid w:val="00534A61"/>
    <w:rsid w:val="00545968"/>
    <w:rsid w:val="005538BF"/>
    <w:rsid w:val="0056402A"/>
    <w:rsid w:val="0056573E"/>
    <w:rsid w:val="005A3E2A"/>
    <w:rsid w:val="005A5A16"/>
    <w:rsid w:val="005B1DC3"/>
    <w:rsid w:val="005B5C91"/>
    <w:rsid w:val="005C1FA3"/>
    <w:rsid w:val="005C7AB7"/>
    <w:rsid w:val="0060068D"/>
    <w:rsid w:val="00624BD7"/>
    <w:rsid w:val="0065688B"/>
    <w:rsid w:val="00663358"/>
    <w:rsid w:val="00693AD9"/>
    <w:rsid w:val="006B4296"/>
    <w:rsid w:val="006F0674"/>
    <w:rsid w:val="00725E6C"/>
    <w:rsid w:val="007350DB"/>
    <w:rsid w:val="0074219E"/>
    <w:rsid w:val="0074795C"/>
    <w:rsid w:val="00772F1E"/>
    <w:rsid w:val="00780E64"/>
    <w:rsid w:val="007A2930"/>
    <w:rsid w:val="007B338A"/>
    <w:rsid w:val="007C6FC3"/>
    <w:rsid w:val="00805025"/>
    <w:rsid w:val="00815E6F"/>
    <w:rsid w:val="0082625B"/>
    <w:rsid w:val="00841D7C"/>
    <w:rsid w:val="00894242"/>
    <w:rsid w:val="008B44FA"/>
    <w:rsid w:val="008E2DA3"/>
    <w:rsid w:val="008F3AEA"/>
    <w:rsid w:val="0090607B"/>
    <w:rsid w:val="00944194"/>
    <w:rsid w:val="00950419"/>
    <w:rsid w:val="00956AA7"/>
    <w:rsid w:val="00957BC8"/>
    <w:rsid w:val="00957C31"/>
    <w:rsid w:val="00985E55"/>
    <w:rsid w:val="00990A11"/>
    <w:rsid w:val="00994379"/>
    <w:rsid w:val="00996CFC"/>
    <w:rsid w:val="009C67CA"/>
    <w:rsid w:val="009E3B42"/>
    <w:rsid w:val="00A33453"/>
    <w:rsid w:val="00A61B31"/>
    <w:rsid w:val="00A66950"/>
    <w:rsid w:val="00A945FB"/>
    <w:rsid w:val="00AF07E5"/>
    <w:rsid w:val="00AF16DB"/>
    <w:rsid w:val="00B117A5"/>
    <w:rsid w:val="00B4441A"/>
    <w:rsid w:val="00BC7B28"/>
    <w:rsid w:val="00C01A5D"/>
    <w:rsid w:val="00C078E6"/>
    <w:rsid w:val="00C16643"/>
    <w:rsid w:val="00C473DA"/>
    <w:rsid w:val="00C72135"/>
    <w:rsid w:val="00C869BB"/>
    <w:rsid w:val="00CA56A3"/>
    <w:rsid w:val="00CF0F04"/>
    <w:rsid w:val="00D41D59"/>
    <w:rsid w:val="00D66945"/>
    <w:rsid w:val="00D735E7"/>
    <w:rsid w:val="00D86A1E"/>
    <w:rsid w:val="00D86CF7"/>
    <w:rsid w:val="00D968AF"/>
    <w:rsid w:val="00DA2DD1"/>
    <w:rsid w:val="00DC140E"/>
    <w:rsid w:val="00DE18D2"/>
    <w:rsid w:val="00DF4FFD"/>
    <w:rsid w:val="00E40D45"/>
    <w:rsid w:val="00E62B17"/>
    <w:rsid w:val="00E77AAF"/>
    <w:rsid w:val="00E84EEB"/>
    <w:rsid w:val="00EB0D2E"/>
    <w:rsid w:val="00EE4CBC"/>
    <w:rsid w:val="00EE7245"/>
    <w:rsid w:val="00EF270B"/>
    <w:rsid w:val="00EF2AD9"/>
    <w:rsid w:val="00F001D5"/>
    <w:rsid w:val="00F046B7"/>
    <w:rsid w:val="00F22E1E"/>
    <w:rsid w:val="00F40296"/>
    <w:rsid w:val="00F50764"/>
    <w:rsid w:val="00F64BD7"/>
    <w:rsid w:val="00F91786"/>
    <w:rsid w:val="00FE5944"/>
    <w:rsid w:val="00FF6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0DF50278-0C74-4BFE-B1CD-C5180B0C0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atentStyles>
  <w:style w:type="paragraph" w:default="1" w:styleId="Normal">
    <w:name w:val="Normal"/>
    <w:uiPriority w:val="2"/>
    <w:qFormat/>
    <w:rsid w:val="00CC0A74"/>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Heading1">
    <w:name w:val="heading 1"/>
    <w:basedOn w:val="Normal"/>
    <w:next w:val="Normal"/>
    <w:link w:val="Heading1Char"/>
    <w:qFormat/>
    <w:rsid w:val="00CC0A74"/>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CC0A74"/>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CC0A74"/>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CC0A74"/>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nhideWhenUsed/>
    <w:qFormat/>
    <w:rsid w:val="00CC0A74"/>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nhideWhenUsed/>
    <w:qFormat/>
    <w:rsid w:val="00CC0A74"/>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nhideWhenUsed/>
    <w:qFormat/>
    <w:rsid w:val="00CC0A74"/>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nhideWhenUsed/>
    <w:qFormat/>
    <w:rsid w:val="00CC0A74"/>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nhideWhenUsed/>
    <w:qFormat/>
    <w:rsid w:val="00CC0A74"/>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0A74"/>
    <w:rPr>
      <w:rFonts w:ascii="Arial" w:eastAsia="Times New Roman" w:hAnsi="Arial" w:cs="Helvetica-Light"/>
      <w:b/>
      <w:bCs/>
      <w:sz w:val="40"/>
      <w:szCs w:val="28"/>
      <w:lang w:eastAsia="en-GB"/>
    </w:rPr>
  </w:style>
  <w:style w:type="character" w:customStyle="1" w:styleId="Heading2Char">
    <w:name w:val="Heading 2 Char"/>
    <w:basedOn w:val="DefaultParagraphFont"/>
    <w:link w:val="Heading2"/>
    <w:rsid w:val="00CC0A74"/>
    <w:rPr>
      <w:rFonts w:ascii="Arial" w:eastAsia="Times New Roman" w:hAnsi="Arial" w:cs="Helvetica-Light"/>
      <w:b/>
      <w:bCs/>
      <w:color w:val="000000"/>
      <w:sz w:val="32"/>
      <w:szCs w:val="26"/>
      <w:lang w:eastAsia="en-GB"/>
    </w:rPr>
  </w:style>
  <w:style w:type="character" w:customStyle="1" w:styleId="Heading3Char">
    <w:name w:val="Heading 3 Char"/>
    <w:basedOn w:val="DefaultParagraphFont"/>
    <w:link w:val="Heading3"/>
    <w:rsid w:val="00CC0A74"/>
    <w:rPr>
      <w:rFonts w:ascii="Arial" w:eastAsia="Times New Roman" w:hAnsi="Arial" w:cs="Times New Roman"/>
      <w:b/>
      <w:bCs/>
      <w:i/>
      <w:sz w:val="28"/>
      <w:szCs w:val="28"/>
    </w:rPr>
  </w:style>
  <w:style w:type="character" w:customStyle="1" w:styleId="Heading4Char">
    <w:name w:val="Heading 4 Char"/>
    <w:basedOn w:val="DefaultParagraphFont"/>
    <w:link w:val="Heading4"/>
    <w:rsid w:val="00CC0A74"/>
    <w:rPr>
      <w:rFonts w:ascii="Arial" w:eastAsia="Times New Roman" w:hAnsi="Arial" w:cs="Arial"/>
      <w:b/>
      <w:bCs/>
      <w:lang w:eastAsia="en-GB"/>
    </w:rPr>
  </w:style>
  <w:style w:type="character" w:customStyle="1" w:styleId="Heading5Char">
    <w:name w:val="Heading 5 Char"/>
    <w:basedOn w:val="DefaultParagraphFont"/>
    <w:link w:val="Heading5"/>
    <w:rsid w:val="00CC0A74"/>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rsid w:val="00CC0A74"/>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rsid w:val="00CC0A74"/>
    <w:rPr>
      <w:rFonts w:ascii="Arial" w:eastAsia="Times New Roman" w:hAnsi="Arial" w:cs="Times New Roman"/>
      <w:b/>
      <w:sz w:val="24"/>
      <w:szCs w:val="20"/>
      <w:lang w:eastAsia="en-GB"/>
    </w:rPr>
  </w:style>
  <w:style w:type="character" w:customStyle="1" w:styleId="Heading8Char">
    <w:name w:val="Heading 8 Char"/>
    <w:basedOn w:val="DefaultParagraphFont"/>
    <w:link w:val="Heading8"/>
    <w:rsid w:val="00CC0A74"/>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CC0A74"/>
    <w:rPr>
      <w:rFonts w:ascii="Arial" w:eastAsia="Times New Roman" w:hAnsi="Arial" w:cs="Times New Roman"/>
      <w:b/>
      <w:i/>
      <w:snapToGrid w:val="0"/>
      <w:sz w:val="24"/>
      <w:szCs w:val="20"/>
    </w:rPr>
  </w:style>
  <w:style w:type="paragraph" w:styleId="Header">
    <w:name w:val="header"/>
    <w:basedOn w:val="Normal"/>
    <w:link w:val="HeaderChar"/>
    <w:uiPriority w:val="99"/>
    <w:rsid w:val="00CC0A74"/>
    <w:pPr>
      <w:tabs>
        <w:tab w:val="center" w:pos="4320"/>
        <w:tab w:val="right" w:pos="8640"/>
      </w:tabs>
      <w:spacing w:after="0"/>
    </w:pPr>
    <w:rPr>
      <w:color w:val="FFFFFF"/>
      <w:sz w:val="22"/>
      <w:szCs w:val="22"/>
    </w:rPr>
  </w:style>
  <w:style w:type="character" w:customStyle="1" w:styleId="HeaderChar">
    <w:name w:val="Header Char"/>
    <w:basedOn w:val="DefaultParagraphFont"/>
    <w:link w:val="Header"/>
    <w:uiPriority w:val="99"/>
    <w:rsid w:val="00CC0A74"/>
    <w:rPr>
      <w:rFonts w:ascii="Arial" w:eastAsia="Calibri" w:hAnsi="Arial" w:cs="Helvetica-Light"/>
      <w:color w:val="FFFFFF"/>
    </w:rPr>
  </w:style>
  <w:style w:type="paragraph" w:styleId="Footer">
    <w:name w:val="footer"/>
    <w:basedOn w:val="Normal"/>
    <w:link w:val="FooterChar"/>
    <w:uiPriority w:val="99"/>
    <w:rsid w:val="00CC0A74"/>
    <w:pPr>
      <w:spacing w:after="0"/>
      <w:jc w:val="center"/>
    </w:pPr>
    <w:rPr>
      <w:sz w:val="22"/>
      <w:szCs w:val="22"/>
    </w:rPr>
  </w:style>
  <w:style w:type="character" w:customStyle="1" w:styleId="FooterChar">
    <w:name w:val="Footer Char"/>
    <w:basedOn w:val="DefaultParagraphFont"/>
    <w:link w:val="Footer"/>
    <w:uiPriority w:val="99"/>
    <w:rsid w:val="00CC0A74"/>
    <w:rPr>
      <w:rFonts w:ascii="Arial" w:eastAsia="Calibri" w:hAnsi="Arial" w:cs="Helvetica-Light"/>
      <w:color w:val="000000"/>
    </w:rPr>
  </w:style>
  <w:style w:type="paragraph" w:styleId="ListParagraph">
    <w:name w:val="List Paragraph"/>
    <w:aliases w:val="Picture"/>
    <w:basedOn w:val="Normal"/>
    <w:link w:val="ListParagraphChar"/>
    <w:uiPriority w:val="34"/>
    <w:unhideWhenUsed/>
    <w:qFormat/>
    <w:rsid w:val="00CC0A74"/>
    <w:pPr>
      <w:ind w:left="720"/>
      <w:contextualSpacing/>
    </w:pPr>
  </w:style>
  <w:style w:type="paragraph" w:styleId="Title">
    <w:name w:val="Title"/>
    <w:basedOn w:val="Normal"/>
    <w:next w:val="Normal"/>
    <w:link w:val="TitleChar"/>
    <w:qFormat/>
    <w:rsid w:val="00CC0A74"/>
    <w:pPr>
      <w:spacing w:after="240"/>
      <w:contextualSpacing/>
    </w:pPr>
    <w:rPr>
      <w:rFonts w:ascii="Corbel" w:eastAsia="Times New Roman" w:hAnsi="Corbel"/>
      <w:color w:val="auto"/>
      <w:spacing w:val="5"/>
      <w:kern w:val="28"/>
      <w:sz w:val="80"/>
      <w:szCs w:val="80"/>
    </w:rPr>
  </w:style>
  <w:style w:type="character" w:customStyle="1" w:styleId="TitleChar">
    <w:name w:val="Title Char"/>
    <w:basedOn w:val="DefaultParagraphFont"/>
    <w:link w:val="Title"/>
    <w:rsid w:val="00CC0A74"/>
    <w:rPr>
      <w:rFonts w:ascii="Corbel" w:eastAsia="Times New Roman" w:hAnsi="Corbel" w:cs="Helvetica-Light"/>
      <w:spacing w:val="5"/>
      <w:kern w:val="28"/>
      <w:sz w:val="80"/>
      <w:szCs w:val="80"/>
    </w:rPr>
  </w:style>
  <w:style w:type="paragraph" w:styleId="BodyText2">
    <w:name w:val="Body Text 2"/>
    <w:basedOn w:val="Normal"/>
    <w:link w:val="BodyText2Char"/>
    <w:unhideWhenUsed/>
    <w:rsid w:val="00CC0A74"/>
    <w:pPr>
      <w:spacing w:line="480" w:lineRule="auto"/>
    </w:pPr>
  </w:style>
  <w:style w:type="character" w:customStyle="1" w:styleId="BodyText2Char">
    <w:name w:val="Body Text 2 Char"/>
    <w:basedOn w:val="DefaultParagraphFont"/>
    <w:link w:val="BodyText2"/>
    <w:rsid w:val="00CC0A74"/>
    <w:rPr>
      <w:rFonts w:ascii="Arial" w:eastAsia="Calibri" w:hAnsi="Arial" w:cs="Helvetica-Light"/>
      <w:color w:val="000000"/>
      <w:sz w:val="24"/>
      <w:szCs w:val="24"/>
    </w:rPr>
  </w:style>
  <w:style w:type="character" w:styleId="PageNumber">
    <w:name w:val="page number"/>
    <w:uiPriority w:val="2"/>
    <w:rsid w:val="00CC0A74"/>
    <w:rPr>
      <w:rFonts w:cs="Times New Roman"/>
    </w:rPr>
  </w:style>
  <w:style w:type="table" w:styleId="TableGrid">
    <w:name w:val="Table Grid"/>
    <w:aliases w:val="Tender Table 1"/>
    <w:basedOn w:val="TableNormal"/>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CC0A74"/>
    <w:pPr>
      <w:numPr>
        <w:numId w:val="1"/>
      </w:numPr>
      <w:ind w:hanging="357"/>
    </w:pPr>
    <w:rPr>
      <w:rFonts w:cs="Arial"/>
      <w:lang w:eastAsia="en-GB"/>
    </w:rPr>
  </w:style>
  <w:style w:type="paragraph" w:customStyle="1" w:styleId="Footnote">
    <w:name w:val="Footnote"/>
    <w:basedOn w:val="FootnoteText"/>
    <w:uiPriority w:val="2"/>
    <w:qFormat/>
    <w:rsid w:val="00CC0A74"/>
    <w:pPr>
      <w:ind w:left="284" w:hanging="284"/>
    </w:pPr>
  </w:style>
  <w:style w:type="paragraph" w:styleId="FootnoteText">
    <w:name w:val="footnote text"/>
    <w:basedOn w:val="Normal"/>
    <w:link w:val="FootnoteTextChar"/>
    <w:uiPriority w:val="2"/>
    <w:rsid w:val="00CC0A74"/>
    <w:pPr>
      <w:spacing w:after="0"/>
    </w:pPr>
    <w:rPr>
      <w:sz w:val="20"/>
      <w:szCs w:val="20"/>
    </w:rPr>
  </w:style>
  <w:style w:type="character" w:customStyle="1" w:styleId="FootnoteTextChar">
    <w:name w:val="Footnote Text Char"/>
    <w:basedOn w:val="DefaultParagraphFont"/>
    <w:link w:val="FootnoteText"/>
    <w:uiPriority w:val="2"/>
    <w:rsid w:val="00CC0A74"/>
    <w:rPr>
      <w:rFonts w:ascii="Arial" w:eastAsia="Calibri" w:hAnsi="Arial" w:cs="Helvetica-Light"/>
      <w:color w:val="000000"/>
      <w:sz w:val="20"/>
      <w:szCs w:val="20"/>
    </w:rPr>
  </w:style>
  <w:style w:type="paragraph" w:customStyle="1" w:styleId="TableSource">
    <w:name w:val="Table Source"/>
    <w:basedOn w:val="Normal"/>
    <w:uiPriority w:val="1"/>
    <w:qFormat/>
    <w:rsid w:val="00CC0A74"/>
    <w:pPr>
      <w:spacing w:before="60"/>
    </w:pPr>
    <w:rPr>
      <w:i/>
      <w:sz w:val="18"/>
      <w:szCs w:val="18"/>
    </w:rPr>
  </w:style>
  <w:style w:type="paragraph" w:customStyle="1" w:styleId="TableTitle">
    <w:name w:val="Table Title"/>
    <w:basedOn w:val="Normal"/>
    <w:uiPriority w:val="1"/>
    <w:qFormat/>
    <w:rsid w:val="00CC0A74"/>
    <w:pPr>
      <w:spacing w:before="60"/>
    </w:pPr>
    <w:rPr>
      <w:b/>
      <w:sz w:val="28"/>
      <w:szCs w:val="28"/>
    </w:rPr>
  </w:style>
  <w:style w:type="paragraph" w:styleId="TOC2">
    <w:name w:val="toc 2"/>
    <w:aliases w:val="*TOC 2"/>
    <w:basedOn w:val="TOC3"/>
    <w:next w:val="Normal"/>
    <w:uiPriority w:val="39"/>
    <w:qFormat/>
    <w:rsid w:val="00CC0A74"/>
    <w:pPr>
      <w:ind w:left="720"/>
      <w:outlineLvl w:val="0"/>
    </w:pPr>
    <w:rPr>
      <w:i w:val="0"/>
    </w:rPr>
  </w:style>
  <w:style w:type="paragraph" w:styleId="TOC3">
    <w:name w:val="toc 3"/>
    <w:aliases w:val="*TOC 3"/>
    <w:next w:val="Normal"/>
    <w:uiPriority w:val="39"/>
    <w:qFormat/>
    <w:rsid w:val="00CC0A74"/>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aliases w:val="*TOC 1"/>
    <w:basedOn w:val="Normal"/>
    <w:next w:val="Normal"/>
    <w:uiPriority w:val="39"/>
    <w:qFormat/>
    <w:rsid w:val="00CC0A74"/>
    <w:pPr>
      <w:tabs>
        <w:tab w:val="right" w:leader="dot" w:pos="10490"/>
      </w:tabs>
      <w:spacing w:before="120"/>
      <w:outlineLvl w:val="0"/>
    </w:pPr>
    <w:rPr>
      <w:b/>
      <w:bCs/>
      <w:noProof/>
      <w:szCs w:val="20"/>
    </w:rPr>
  </w:style>
  <w:style w:type="character" w:styleId="Hyperlink">
    <w:name w:val="Hyperlink"/>
    <w:uiPriority w:val="99"/>
    <w:unhideWhenUsed/>
    <w:rsid w:val="00CC0A74"/>
    <w:rPr>
      <w:rFonts w:cs="Arial"/>
      <w:color w:val="0000FF"/>
      <w:u w:val="single"/>
    </w:rPr>
  </w:style>
  <w:style w:type="paragraph" w:styleId="TOC4">
    <w:name w:val="toc 4"/>
    <w:aliases w:val="*TOC 4"/>
    <w:basedOn w:val="Normal"/>
    <w:next w:val="Normal"/>
    <w:autoRedefine/>
    <w:uiPriority w:val="39"/>
    <w:unhideWhenUsed/>
    <w:qFormat/>
    <w:rsid w:val="00CC0A74"/>
    <w:pPr>
      <w:ind w:left="720"/>
    </w:pPr>
  </w:style>
  <w:style w:type="paragraph" w:customStyle="1" w:styleId="Title2">
    <w:name w:val="Title 2"/>
    <w:basedOn w:val="Heading2"/>
    <w:link w:val="Title2Char"/>
    <w:uiPriority w:val="1"/>
    <w:qFormat/>
    <w:rsid w:val="00CC0A74"/>
    <w:rPr>
      <w:sz w:val="40"/>
      <w:szCs w:val="40"/>
    </w:rPr>
  </w:style>
  <w:style w:type="character" w:customStyle="1" w:styleId="Title2Char">
    <w:name w:val="Title 2 Char"/>
    <w:link w:val="Title2"/>
    <w:uiPriority w:val="1"/>
    <w:rsid w:val="00CC0A74"/>
    <w:rPr>
      <w:rFonts w:ascii="Arial" w:eastAsia="Times New Roman" w:hAnsi="Arial" w:cs="Helvetica-Light"/>
      <w:b/>
      <w:bCs/>
      <w:color w:val="000000"/>
      <w:sz w:val="40"/>
      <w:szCs w:val="40"/>
      <w:lang w:eastAsia="en-GB"/>
    </w:rPr>
  </w:style>
  <w:style w:type="paragraph" w:customStyle="1" w:styleId="anchor">
    <w:name w:val="anchor"/>
    <w:basedOn w:val="Normal"/>
    <w:qFormat/>
    <w:rsid w:val="00CC0A74"/>
    <w:pPr>
      <w:spacing w:after="0"/>
      <w:jc w:val="left"/>
    </w:pPr>
    <w:rPr>
      <w:b/>
      <w:color w:val="FF0000"/>
      <w:sz w:val="2"/>
      <w:szCs w:val="2"/>
    </w:rPr>
  </w:style>
  <w:style w:type="character" w:styleId="FootnoteReference">
    <w:name w:val="footnote reference"/>
    <w:uiPriority w:val="2"/>
    <w:rsid w:val="00CC0A74"/>
    <w:rPr>
      <w:vertAlign w:val="superscript"/>
    </w:rPr>
  </w:style>
  <w:style w:type="character" w:styleId="FollowedHyperlink">
    <w:name w:val="FollowedHyperlink"/>
    <w:unhideWhenUsed/>
    <w:rsid w:val="00CC0A74"/>
    <w:rPr>
      <w:color w:val="800080"/>
      <w:u w:val="single"/>
    </w:rPr>
  </w:style>
  <w:style w:type="paragraph" w:styleId="BodyTextIndent">
    <w:name w:val="Body Text Indent"/>
    <w:basedOn w:val="Normal"/>
    <w:link w:val="BodyTextIndentChar"/>
    <w:rsid w:val="00CC0A74"/>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CC0A74"/>
    <w:rPr>
      <w:rFonts w:ascii="Arial" w:eastAsia="Times New Roman" w:hAnsi="Arial" w:cs="Times New Roman"/>
      <w:sz w:val="24"/>
      <w:szCs w:val="20"/>
      <w:lang w:eastAsia="en-GB"/>
    </w:rPr>
  </w:style>
  <w:style w:type="character" w:customStyle="1" w:styleId="CommentTextChar">
    <w:name w:val="Comment Text Char"/>
    <w:link w:val="CommentText"/>
    <w:uiPriority w:val="99"/>
    <w:rsid w:val="00CC0A74"/>
    <w:rPr>
      <w:rFonts w:eastAsia="Times New Roman" w:cs="Arial"/>
      <w:sz w:val="20"/>
      <w:szCs w:val="20"/>
    </w:rPr>
  </w:style>
  <w:style w:type="paragraph" w:styleId="CommentText">
    <w:name w:val="annotation text"/>
    <w:basedOn w:val="Normal"/>
    <w:link w:val="CommentTextChar"/>
    <w:uiPriority w:val="99"/>
    <w:rsid w:val="00CC0A74"/>
    <w:pPr>
      <w:autoSpaceDE/>
      <w:autoSpaceDN/>
      <w:adjustRightInd/>
      <w:spacing w:after="0"/>
      <w:jc w:val="left"/>
    </w:pPr>
    <w:rPr>
      <w:rFonts w:asciiTheme="minorHAnsi" w:eastAsia="Times New Roman" w:hAnsiTheme="minorHAnsi" w:cs="Arial"/>
      <w:color w:val="auto"/>
      <w:sz w:val="20"/>
      <w:szCs w:val="20"/>
    </w:rPr>
  </w:style>
  <w:style w:type="character" w:customStyle="1" w:styleId="CommentTextChar1">
    <w:name w:val="Comment Text Char1"/>
    <w:basedOn w:val="DefaultParagraphFont"/>
    <w:uiPriority w:val="99"/>
    <w:semiHidden/>
    <w:rsid w:val="00CC0A74"/>
    <w:rPr>
      <w:rFonts w:ascii="Arial" w:eastAsia="Calibri" w:hAnsi="Arial" w:cs="Helvetica-Light"/>
      <w:color w:val="000000"/>
      <w:sz w:val="20"/>
      <w:szCs w:val="20"/>
    </w:rPr>
  </w:style>
  <w:style w:type="character" w:customStyle="1" w:styleId="CommentSubjectChar1">
    <w:name w:val="Comment Subject Char1"/>
    <w:uiPriority w:val="99"/>
    <w:semiHidden/>
    <w:rsid w:val="00CC0A74"/>
    <w:rPr>
      <w:rFonts w:ascii="Arial" w:eastAsia="Calibri" w:hAnsi="Arial" w:cs="Helvetica-Light"/>
      <w:b/>
      <w:bCs/>
      <w:color w:val="000000"/>
      <w:lang w:eastAsia="en-US"/>
    </w:rPr>
  </w:style>
  <w:style w:type="paragraph" w:customStyle="1" w:styleId="TableHeadingText">
    <w:name w:val="Table Heading Text"/>
    <w:basedOn w:val="Normal"/>
    <w:link w:val="TableHeadingTextChar"/>
    <w:rsid w:val="00CC0A74"/>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CC0A74"/>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CC0A74"/>
    <w:pPr>
      <w:jc w:val="right"/>
    </w:pPr>
    <w:rPr>
      <w:sz w:val="22"/>
    </w:rPr>
  </w:style>
  <w:style w:type="paragraph" w:customStyle="1" w:styleId="TableHeadingTextRight">
    <w:name w:val="Table Heading Text Right"/>
    <w:basedOn w:val="TableHeadingText"/>
    <w:uiPriority w:val="1"/>
    <w:qFormat/>
    <w:rsid w:val="00CC0A74"/>
    <w:pPr>
      <w:jc w:val="right"/>
    </w:pPr>
  </w:style>
  <w:style w:type="paragraph" w:customStyle="1" w:styleId="TableText">
    <w:name w:val="Table Text"/>
    <w:basedOn w:val="Normal"/>
    <w:link w:val="TableTextChar"/>
    <w:rsid w:val="00CC0A74"/>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CC0A74"/>
    <w:pPr>
      <w:numPr>
        <w:numId w:val="2"/>
      </w:numPr>
      <w:tabs>
        <w:tab w:val="left" w:pos="567"/>
      </w:tabs>
      <w:spacing w:before="200" w:after="120" w:line="240" w:lineRule="auto"/>
      <w:ind w:left="567" w:hanging="567"/>
    </w:pPr>
    <w:rPr>
      <w:rFonts w:ascii="Arial" w:eastAsia="Times New Roman" w:hAnsi="Arial" w:cs="Times New Roman"/>
      <w:b/>
      <w:bCs/>
      <w:sz w:val="28"/>
      <w:szCs w:val="26"/>
    </w:rPr>
  </w:style>
  <w:style w:type="paragraph" w:customStyle="1" w:styleId="Normal-indent">
    <w:name w:val="Normal - indent"/>
    <w:basedOn w:val="Normal"/>
    <w:uiPriority w:val="2"/>
    <w:qFormat/>
    <w:rsid w:val="00CC0A74"/>
    <w:pPr>
      <w:ind w:left="360"/>
    </w:pPr>
  </w:style>
  <w:style w:type="paragraph" w:customStyle="1" w:styleId="Bullet-indent">
    <w:name w:val="Bullet - indent"/>
    <w:basedOn w:val="Bullet"/>
    <w:qFormat/>
    <w:rsid w:val="00CC0A74"/>
    <w:pPr>
      <w:numPr>
        <w:ilvl w:val="1"/>
      </w:numPr>
    </w:pPr>
  </w:style>
  <w:style w:type="paragraph" w:customStyle="1" w:styleId="Heading3-indent">
    <w:name w:val="Heading 3 - indent"/>
    <w:basedOn w:val="Heading3"/>
    <w:qFormat/>
    <w:rsid w:val="00CC0A74"/>
    <w:pPr>
      <w:spacing w:before="200"/>
      <w:ind w:left="360"/>
    </w:pPr>
    <w:rPr>
      <w:i w:val="0"/>
      <w:sz w:val="24"/>
      <w:szCs w:val="24"/>
    </w:rPr>
  </w:style>
  <w:style w:type="paragraph" w:styleId="Bibliography">
    <w:name w:val="Bibliography"/>
    <w:basedOn w:val="Normal"/>
    <w:next w:val="Normal"/>
    <w:uiPriority w:val="37"/>
    <w:semiHidden/>
    <w:unhideWhenUsed/>
    <w:rsid w:val="00CC0A74"/>
  </w:style>
  <w:style w:type="paragraph" w:styleId="BodyText">
    <w:name w:val="Body Text"/>
    <w:basedOn w:val="Normal"/>
    <w:link w:val="BodyTextChar"/>
    <w:unhideWhenUsed/>
    <w:rsid w:val="00CC0A74"/>
  </w:style>
  <w:style w:type="character" w:customStyle="1" w:styleId="BodyTextChar">
    <w:name w:val="Body Text Char"/>
    <w:basedOn w:val="DefaultParagraphFont"/>
    <w:link w:val="BodyText"/>
    <w:rsid w:val="00CC0A74"/>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CC0A74"/>
    <w:pPr>
      <w:ind w:firstLine="210"/>
    </w:pPr>
  </w:style>
  <w:style w:type="character" w:customStyle="1" w:styleId="BodyTextFirstIndentChar">
    <w:name w:val="Body Text First Indent Char"/>
    <w:basedOn w:val="BodyTextChar"/>
    <w:link w:val="BodyTextFirstIndent"/>
    <w:uiPriority w:val="99"/>
    <w:rsid w:val="00CC0A74"/>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CC0A74"/>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CC0A74"/>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CC0A74"/>
    <w:rPr>
      <w:b/>
      <w:bCs/>
      <w:sz w:val="20"/>
      <w:szCs w:val="20"/>
    </w:rPr>
  </w:style>
  <w:style w:type="paragraph" w:styleId="Closing">
    <w:name w:val="Closing"/>
    <w:basedOn w:val="Normal"/>
    <w:link w:val="ClosingChar"/>
    <w:uiPriority w:val="99"/>
    <w:rsid w:val="00CC0A74"/>
    <w:pPr>
      <w:ind w:left="4252"/>
    </w:pPr>
  </w:style>
  <w:style w:type="character" w:customStyle="1" w:styleId="ClosingChar">
    <w:name w:val="Closing Char"/>
    <w:basedOn w:val="DefaultParagraphFont"/>
    <w:link w:val="Closing"/>
    <w:uiPriority w:val="99"/>
    <w:rsid w:val="00CC0A74"/>
    <w:rPr>
      <w:rFonts w:ascii="Arial" w:eastAsia="Calibri" w:hAnsi="Arial" w:cs="Helvetica-Light"/>
      <w:color w:val="000000"/>
      <w:sz w:val="24"/>
      <w:szCs w:val="24"/>
    </w:rPr>
  </w:style>
  <w:style w:type="paragraph" w:styleId="Date">
    <w:name w:val="Date"/>
    <w:basedOn w:val="Normal"/>
    <w:next w:val="Normal"/>
    <w:link w:val="DateChar"/>
    <w:uiPriority w:val="99"/>
    <w:rsid w:val="00CC0A74"/>
  </w:style>
  <w:style w:type="character" w:customStyle="1" w:styleId="DateChar">
    <w:name w:val="Date Char"/>
    <w:basedOn w:val="DefaultParagraphFont"/>
    <w:link w:val="Date"/>
    <w:uiPriority w:val="99"/>
    <w:rsid w:val="00CC0A74"/>
    <w:rPr>
      <w:rFonts w:ascii="Arial" w:eastAsia="Calibri" w:hAnsi="Arial" w:cs="Helvetica-Light"/>
      <w:color w:val="000000"/>
      <w:sz w:val="24"/>
      <w:szCs w:val="24"/>
    </w:rPr>
  </w:style>
  <w:style w:type="paragraph" w:styleId="EndnoteText">
    <w:name w:val="endnote text"/>
    <w:basedOn w:val="Normal"/>
    <w:link w:val="EndnoteTextChar"/>
    <w:uiPriority w:val="99"/>
    <w:rsid w:val="00CC0A74"/>
    <w:rPr>
      <w:sz w:val="20"/>
      <w:szCs w:val="20"/>
    </w:rPr>
  </w:style>
  <w:style w:type="character" w:customStyle="1" w:styleId="EndnoteTextChar">
    <w:name w:val="Endnote Text Char"/>
    <w:basedOn w:val="DefaultParagraphFont"/>
    <w:link w:val="EndnoteText"/>
    <w:uiPriority w:val="99"/>
    <w:rsid w:val="00CC0A74"/>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CC0A7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C0A74"/>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CC0A74"/>
    <w:pPr>
      <w:ind w:left="1680" w:hanging="240"/>
    </w:pPr>
  </w:style>
  <w:style w:type="paragraph" w:styleId="Index8">
    <w:name w:val="index 8"/>
    <w:basedOn w:val="Normal"/>
    <w:next w:val="Normal"/>
    <w:autoRedefine/>
    <w:uiPriority w:val="99"/>
    <w:semiHidden/>
    <w:unhideWhenUsed/>
    <w:rsid w:val="00CC0A74"/>
    <w:pPr>
      <w:ind w:left="1920" w:hanging="240"/>
    </w:pPr>
  </w:style>
  <w:style w:type="paragraph" w:styleId="Index9">
    <w:name w:val="index 9"/>
    <w:basedOn w:val="Normal"/>
    <w:next w:val="Normal"/>
    <w:autoRedefine/>
    <w:uiPriority w:val="99"/>
    <w:semiHidden/>
    <w:unhideWhenUsed/>
    <w:rsid w:val="00CC0A74"/>
    <w:pPr>
      <w:ind w:left="2160" w:hanging="240"/>
    </w:pPr>
  </w:style>
  <w:style w:type="paragraph" w:styleId="Index1">
    <w:name w:val="index 1"/>
    <w:basedOn w:val="Normal"/>
    <w:next w:val="Normal"/>
    <w:autoRedefine/>
    <w:uiPriority w:val="99"/>
    <w:semiHidden/>
    <w:unhideWhenUsed/>
    <w:rsid w:val="00CC0A74"/>
    <w:pPr>
      <w:spacing w:after="0"/>
      <w:ind w:left="240" w:hanging="240"/>
    </w:pPr>
  </w:style>
  <w:style w:type="paragraph" w:styleId="IndexHeading">
    <w:name w:val="index heading"/>
    <w:basedOn w:val="Normal"/>
    <w:next w:val="Normal"/>
    <w:uiPriority w:val="99"/>
    <w:semiHidden/>
    <w:unhideWhenUsed/>
    <w:rsid w:val="00CC0A74"/>
    <w:rPr>
      <w:rFonts w:ascii="Cambria" w:eastAsia="Times New Roman" w:hAnsi="Cambria" w:cs="Times New Roman"/>
      <w:b/>
      <w:bCs/>
    </w:rPr>
  </w:style>
  <w:style w:type="paragraph" w:styleId="NormalIndent">
    <w:name w:val="Normal Indent"/>
    <w:basedOn w:val="Normal"/>
    <w:uiPriority w:val="99"/>
    <w:semiHidden/>
    <w:unhideWhenUsed/>
    <w:rsid w:val="00CC0A74"/>
    <w:pPr>
      <w:ind w:left="720"/>
    </w:pPr>
  </w:style>
  <w:style w:type="paragraph" w:styleId="Quote">
    <w:name w:val="Quote"/>
    <w:basedOn w:val="Normal"/>
    <w:next w:val="Normal"/>
    <w:link w:val="QuoteChar"/>
    <w:uiPriority w:val="29"/>
    <w:qFormat/>
    <w:rsid w:val="00CC0A74"/>
    <w:pPr>
      <w:ind w:left="567" w:right="515"/>
    </w:pPr>
    <w:rPr>
      <w:i/>
      <w:iCs/>
    </w:rPr>
  </w:style>
  <w:style w:type="character" w:customStyle="1" w:styleId="QuoteChar">
    <w:name w:val="Quote Char"/>
    <w:basedOn w:val="DefaultParagraphFont"/>
    <w:link w:val="Quote"/>
    <w:uiPriority w:val="29"/>
    <w:rsid w:val="00CC0A74"/>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CC0A74"/>
    <w:pPr>
      <w:ind w:left="960"/>
    </w:pPr>
  </w:style>
  <w:style w:type="paragraph" w:styleId="TOC6">
    <w:name w:val="toc 6"/>
    <w:basedOn w:val="Normal"/>
    <w:next w:val="Normal"/>
    <w:autoRedefine/>
    <w:uiPriority w:val="39"/>
    <w:semiHidden/>
    <w:unhideWhenUsed/>
    <w:rsid w:val="00CC0A74"/>
    <w:pPr>
      <w:ind w:left="1200"/>
    </w:pPr>
  </w:style>
  <w:style w:type="paragraph" w:styleId="TOC7">
    <w:name w:val="toc 7"/>
    <w:basedOn w:val="Normal"/>
    <w:next w:val="Normal"/>
    <w:autoRedefine/>
    <w:uiPriority w:val="39"/>
    <w:semiHidden/>
    <w:unhideWhenUsed/>
    <w:rsid w:val="00CC0A74"/>
    <w:pPr>
      <w:ind w:left="1440"/>
    </w:pPr>
  </w:style>
  <w:style w:type="paragraph" w:styleId="TOC8">
    <w:name w:val="toc 8"/>
    <w:basedOn w:val="Normal"/>
    <w:next w:val="Normal"/>
    <w:autoRedefine/>
    <w:uiPriority w:val="39"/>
    <w:semiHidden/>
    <w:unhideWhenUsed/>
    <w:rsid w:val="00CC0A74"/>
    <w:pPr>
      <w:ind w:left="1680"/>
    </w:pPr>
  </w:style>
  <w:style w:type="paragraph" w:styleId="TOC9">
    <w:name w:val="toc 9"/>
    <w:basedOn w:val="Normal"/>
    <w:next w:val="Normal"/>
    <w:autoRedefine/>
    <w:uiPriority w:val="39"/>
    <w:semiHidden/>
    <w:unhideWhenUsed/>
    <w:rsid w:val="00CC0A74"/>
    <w:pPr>
      <w:ind w:left="1920"/>
    </w:pPr>
  </w:style>
  <w:style w:type="character" w:styleId="EndnoteReference">
    <w:name w:val="endnote reference"/>
    <w:uiPriority w:val="99"/>
    <w:rsid w:val="00CC0A74"/>
    <w:rPr>
      <w:vertAlign w:val="superscript"/>
    </w:rPr>
  </w:style>
  <w:style w:type="paragraph" w:styleId="Revision">
    <w:name w:val="Revision"/>
    <w:hidden/>
    <w:uiPriority w:val="99"/>
    <w:semiHidden/>
    <w:rsid w:val="00CC0A74"/>
    <w:pPr>
      <w:spacing w:after="0" w:line="240" w:lineRule="auto"/>
    </w:pPr>
    <w:rPr>
      <w:rFonts w:ascii="Arial" w:eastAsia="Times New Roman" w:hAnsi="Arial" w:cs="Arial"/>
      <w:sz w:val="24"/>
      <w:szCs w:val="24"/>
      <w:lang w:eastAsia="en-GB"/>
    </w:rPr>
  </w:style>
  <w:style w:type="table" w:styleId="TableList4">
    <w:name w:val="Table List 4"/>
    <w:basedOn w:val="TableNormal"/>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CC0A74"/>
    <w:pPr>
      <w:numPr>
        <w:numId w:val="3"/>
      </w:numPr>
      <w:tabs>
        <w:tab w:val="left" w:pos="426"/>
      </w:tabs>
      <w:ind w:left="426" w:hanging="426"/>
    </w:pPr>
    <w:rPr>
      <w:rFonts w:cs="Arial"/>
    </w:rPr>
  </w:style>
  <w:style w:type="paragraph" w:customStyle="1" w:styleId="TOCHeader">
    <w:name w:val="TOC Header"/>
    <w:basedOn w:val="TableTitle"/>
    <w:qFormat/>
    <w:rsid w:val="00CC0A74"/>
  </w:style>
  <w:style w:type="paragraph" w:customStyle="1" w:styleId="Instructiontext">
    <w:name w:val="Instruction text"/>
    <w:basedOn w:val="Normal"/>
    <w:uiPriority w:val="2"/>
    <w:qFormat/>
    <w:rsid w:val="00CC0A74"/>
    <w:pPr>
      <w:spacing w:after="0"/>
    </w:pPr>
    <w:rPr>
      <w:rFonts w:eastAsia="Times New Roman"/>
      <w:i/>
      <w:color w:val="FF0000"/>
      <w:sz w:val="22"/>
      <w:szCs w:val="22"/>
      <w:lang w:eastAsia="en-GB"/>
    </w:rPr>
  </w:style>
  <w:style w:type="paragraph" w:styleId="BalloonText">
    <w:name w:val="Balloon Text"/>
    <w:basedOn w:val="Normal"/>
    <w:link w:val="BalloonTextChar"/>
    <w:semiHidden/>
    <w:unhideWhenUsed/>
    <w:rsid w:val="00CC0A74"/>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C0A74"/>
    <w:rPr>
      <w:rFonts w:ascii="Tahoma" w:eastAsia="Calibri" w:hAnsi="Tahoma" w:cs="Tahoma"/>
      <w:color w:val="000000"/>
      <w:sz w:val="16"/>
      <w:szCs w:val="16"/>
    </w:rPr>
  </w:style>
  <w:style w:type="table" w:customStyle="1" w:styleId="TableGrid1">
    <w:name w:val="Table Grid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icture Char"/>
    <w:basedOn w:val="DefaultParagraphFont"/>
    <w:link w:val="ListParagraph"/>
    <w:uiPriority w:val="34"/>
    <w:locked/>
    <w:rsid w:val="00CC0A74"/>
    <w:rPr>
      <w:rFonts w:ascii="Arial" w:eastAsia="Calibri" w:hAnsi="Arial" w:cs="Helvetica-Light"/>
      <w:color w:val="000000"/>
      <w:sz w:val="24"/>
      <w:szCs w:val="24"/>
    </w:rPr>
  </w:style>
  <w:style w:type="paragraph" w:customStyle="1" w:styleId="Default">
    <w:name w:val="Default"/>
    <w:rsid w:val="00CC0A7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10">
    <w:name w:val="Pa10"/>
    <w:basedOn w:val="Default"/>
    <w:next w:val="Default"/>
    <w:uiPriority w:val="99"/>
    <w:rsid w:val="00CC0A74"/>
    <w:pPr>
      <w:spacing w:line="231" w:lineRule="atLeast"/>
    </w:pPr>
    <w:rPr>
      <w:rFonts w:ascii="FS Lola" w:eastAsiaTheme="minorHAnsi" w:hAnsi="FS Lola" w:cstheme="minorBidi"/>
      <w:color w:val="auto"/>
      <w:lang w:eastAsia="en-US"/>
    </w:rPr>
  </w:style>
  <w:style w:type="table" w:customStyle="1" w:styleId="TableGrid2">
    <w:name w:val="Table Grid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0A74"/>
    <w:pPr>
      <w:autoSpaceDE/>
      <w:autoSpaceDN/>
      <w:adjustRightInd/>
      <w:spacing w:before="100" w:beforeAutospacing="1" w:after="100" w:afterAutospacing="1"/>
      <w:jc w:val="left"/>
    </w:pPr>
    <w:rPr>
      <w:rFonts w:ascii="Times New Roman" w:eastAsiaTheme="minorEastAsia" w:hAnsi="Times New Roman" w:cs="Times New Roman"/>
      <w:color w:val="auto"/>
      <w:lang w:eastAsia="en-GB"/>
    </w:rPr>
  </w:style>
  <w:style w:type="paragraph" w:customStyle="1" w:styleId="OutlineNum2">
    <w:name w:val="Outline Num 2"/>
    <w:basedOn w:val="Normal"/>
    <w:link w:val="OutlineNum2Char"/>
    <w:rsid w:val="00CC0A74"/>
    <w:pPr>
      <w:numPr>
        <w:ilvl w:val="1"/>
        <w:numId w:val="14"/>
      </w:numPr>
      <w:autoSpaceDE/>
      <w:autoSpaceDN/>
      <w:adjustRightInd/>
      <w:spacing w:after="240"/>
      <w:jc w:val="left"/>
      <w:outlineLvl w:val="1"/>
    </w:pPr>
    <w:rPr>
      <w:rFonts w:eastAsia="Times New Roman" w:cs="Times New Roman"/>
      <w:color w:val="auto"/>
      <w:sz w:val="22"/>
      <w:szCs w:val="20"/>
      <w:lang w:eastAsia="en-GB"/>
    </w:rPr>
  </w:style>
  <w:style w:type="paragraph" w:customStyle="1" w:styleId="OutlineNum3">
    <w:name w:val="Outline Num 3"/>
    <w:basedOn w:val="Normal"/>
    <w:rsid w:val="00CC0A74"/>
    <w:pPr>
      <w:numPr>
        <w:ilvl w:val="2"/>
        <w:numId w:val="14"/>
      </w:numPr>
      <w:autoSpaceDE/>
      <w:autoSpaceDN/>
      <w:adjustRightInd/>
      <w:spacing w:after="240"/>
      <w:jc w:val="left"/>
      <w:outlineLvl w:val="2"/>
    </w:pPr>
    <w:rPr>
      <w:rFonts w:eastAsia="Times New Roman" w:cs="Times New Roman"/>
      <w:color w:val="auto"/>
      <w:sz w:val="22"/>
      <w:szCs w:val="20"/>
      <w:lang w:eastAsia="en-GB"/>
    </w:rPr>
  </w:style>
  <w:style w:type="character" w:customStyle="1" w:styleId="OutlineNum2Char">
    <w:name w:val="Outline Num 2 Char"/>
    <w:basedOn w:val="DefaultParagraphFont"/>
    <w:link w:val="OutlineNum2"/>
    <w:rsid w:val="00CC0A74"/>
    <w:rPr>
      <w:rFonts w:ascii="Arial" w:eastAsia="Times New Roman" w:hAnsi="Arial" w:cs="Times New Roman"/>
      <w:szCs w:val="20"/>
      <w:lang w:eastAsia="en-GB"/>
    </w:rPr>
  </w:style>
  <w:style w:type="character" w:customStyle="1" w:styleId="TableHeadingTextChar">
    <w:name w:val="Table Heading Text Char"/>
    <w:basedOn w:val="DefaultParagraphFont"/>
    <w:link w:val="TableHeadingText"/>
    <w:rsid w:val="00CC0A74"/>
    <w:rPr>
      <w:rFonts w:ascii="Arial" w:eastAsia="Times New Roman" w:hAnsi="Arial" w:cs="Arial"/>
      <w:b/>
      <w:sz w:val="18"/>
      <w:szCs w:val="20"/>
    </w:rPr>
  </w:style>
  <w:style w:type="character" w:customStyle="1" w:styleId="TableTextChar">
    <w:name w:val="Table Text Char"/>
    <w:basedOn w:val="DefaultParagraphFont"/>
    <w:link w:val="TableText"/>
    <w:rsid w:val="00CC0A74"/>
    <w:rPr>
      <w:rFonts w:ascii="Arial" w:eastAsia="Times New Roman" w:hAnsi="Arial" w:cs="Arial"/>
      <w:sz w:val="20"/>
      <w:szCs w:val="20"/>
    </w:rPr>
  </w:style>
  <w:style w:type="paragraph" w:customStyle="1" w:styleId="AppendixHeading1">
    <w:name w:val="Appendix Heading 1"/>
    <w:basedOn w:val="Normal"/>
    <w:next w:val="Normal"/>
    <w:rsid w:val="00CC0A74"/>
    <w:pPr>
      <w:keepNext/>
      <w:numPr>
        <w:ilvl w:val="4"/>
        <w:numId w:val="15"/>
      </w:numPr>
      <w:autoSpaceDE/>
      <w:autoSpaceDN/>
      <w:adjustRightInd/>
      <w:spacing w:after="0" w:line="400" w:lineRule="atLeast"/>
      <w:jc w:val="left"/>
      <w:outlineLvl w:val="4"/>
    </w:pPr>
    <w:rPr>
      <w:rFonts w:eastAsia="Times New Roman" w:cs="Arial"/>
      <w:color w:val="002C77"/>
      <w:sz w:val="36"/>
      <w:szCs w:val="20"/>
    </w:rPr>
  </w:style>
  <w:style w:type="paragraph" w:customStyle="1" w:styleId="AppendixHeading2">
    <w:name w:val="Appendix Heading 2"/>
    <w:basedOn w:val="Normal"/>
    <w:next w:val="Normal"/>
    <w:rsid w:val="00CC0A74"/>
    <w:pPr>
      <w:keepNext/>
      <w:numPr>
        <w:ilvl w:val="5"/>
        <w:numId w:val="15"/>
      </w:numPr>
      <w:autoSpaceDE/>
      <w:autoSpaceDN/>
      <w:adjustRightInd/>
      <w:spacing w:after="0" w:line="320" w:lineRule="atLeast"/>
      <w:jc w:val="left"/>
      <w:outlineLvl w:val="5"/>
    </w:pPr>
    <w:rPr>
      <w:rFonts w:eastAsia="Times New Roman" w:cs="Arial"/>
      <w:b/>
      <w:color w:val="auto"/>
      <w:sz w:val="28"/>
      <w:szCs w:val="20"/>
    </w:rPr>
  </w:style>
  <w:style w:type="paragraph" w:customStyle="1" w:styleId="AppendixHeading3">
    <w:name w:val="Appendix Heading 3"/>
    <w:basedOn w:val="Normal"/>
    <w:next w:val="Normal"/>
    <w:rsid w:val="00CC0A74"/>
    <w:pPr>
      <w:keepNext/>
      <w:numPr>
        <w:ilvl w:val="6"/>
        <w:numId w:val="15"/>
      </w:numPr>
      <w:autoSpaceDE/>
      <w:autoSpaceDN/>
      <w:adjustRightInd/>
      <w:spacing w:after="0" w:line="320" w:lineRule="atLeast"/>
      <w:jc w:val="left"/>
      <w:outlineLvl w:val="6"/>
    </w:pPr>
    <w:rPr>
      <w:rFonts w:eastAsia="Times New Roman" w:cs="Arial"/>
      <w:b/>
      <w:i/>
      <w:color w:val="auto"/>
      <w:sz w:val="28"/>
      <w:szCs w:val="20"/>
    </w:rPr>
  </w:style>
  <w:style w:type="paragraph" w:styleId="ListNumber">
    <w:name w:val="List Number"/>
    <w:basedOn w:val="Normal"/>
    <w:rsid w:val="00CC0A74"/>
    <w:pPr>
      <w:numPr>
        <w:ilvl w:val="5"/>
        <w:numId w:val="16"/>
      </w:numPr>
      <w:autoSpaceDE/>
      <w:autoSpaceDN/>
      <w:adjustRightInd/>
      <w:spacing w:after="0" w:line="260" w:lineRule="atLeast"/>
      <w:contextualSpacing/>
      <w:jc w:val="left"/>
      <w:outlineLvl w:val="5"/>
    </w:pPr>
    <w:rPr>
      <w:rFonts w:eastAsia="Times New Roman" w:cs="Arial"/>
      <w:color w:val="auto"/>
      <w:sz w:val="22"/>
      <w:szCs w:val="20"/>
    </w:rPr>
  </w:style>
  <w:style w:type="paragraph" w:styleId="ListNumber2">
    <w:name w:val="List Number 2"/>
    <w:basedOn w:val="Normal"/>
    <w:rsid w:val="00CC0A74"/>
    <w:pPr>
      <w:numPr>
        <w:ilvl w:val="6"/>
        <w:numId w:val="16"/>
      </w:numPr>
      <w:autoSpaceDE/>
      <w:autoSpaceDN/>
      <w:adjustRightInd/>
      <w:spacing w:after="0" w:line="260" w:lineRule="atLeast"/>
      <w:contextualSpacing/>
      <w:jc w:val="left"/>
      <w:outlineLvl w:val="6"/>
    </w:pPr>
    <w:rPr>
      <w:rFonts w:eastAsia="Times New Roman" w:cs="Arial"/>
      <w:color w:val="auto"/>
      <w:sz w:val="22"/>
      <w:szCs w:val="20"/>
    </w:rPr>
  </w:style>
  <w:style w:type="paragraph" w:styleId="ListNumber3">
    <w:name w:val="List Number 3"/>
    <w:basedOn w:val="Normal"/>
    <w:rsid w:val="00CC0A74"/>
    <w:pPr>
      <w:numPr>
        <w:ilvl w:val="7"/>
        <w:numId w:val="16"/>
      </w:numPr>
      <w:autoSpaceDE/>
      <w:autoSpaceDN/>
      <w:adjustRightInd/>
      <w:spacing w:after="0" w:line="260" w:lineRule="atLeast"/>
      <w:contextualSpacing/>
      <w:jc w:val="left"/>
      <w:outlineLvl w:val="7"/>
    </w:pPr>
    <w:rPr>
      <w:rFonts w:eastAsia="Times New Roman" w:cs="Arial"/>
      <w:color w:val="auto"/>
      <w:sz w:val="22"/>
      <w:szCs w:val="20"/>
    </w:rPr>
  </w:style>
  <w:style w:type="paragraph" w:styleId="ListNumber4">
    <w:name w:val="List Number 4"/>
    <w:basedOn w:val="Normal"/>
    <w:rsid w:val="00CC0A74"/>
    <w:pPr>
      <w:numPr>
        <w:ilvl w:val="8"/>
        <w:numId w:val="16"/>
      </w:numPr>
      <w:autoSpaceDE/>
      <w:autoSpaceDN/>
      <w:adjustRightInd/>
      <w:spacing w:after="0" w:line="260" w:lineRule="atLeast"/>
      <w:contextualSpacing/>
      <w:jc w:val="left"/>
      <w:outlineLvl w:val="8"/>
    </w:pPr>
    <w:rPr>
      <w:rFonts w:eastAsia="Times New Roman" w:cs="Arial"/>
      <w:color w:val="auto"/>
      <w:sz w:val="22"/>
      <w:szCs w:val="20"/>
    </w:rPr>
  </w:style>
  <w:style w:type="paragraph" w:customStyle="1" w:styleId="Body">
    <w:name w:val="Body"/>
    <w:rsid w:val="00CC0A7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table" w:customStyle="1" w:styleId="TableGrid21">
    <w:name w:val="Table Grid2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CC0A74"/>
    <w:pPr>
      <w:spacing w:after="0" w:line="240" w:lineRule="atLeast"/>
      <w:jc w:val="left"/>
    </w:pPr>
    <w:rPr>
      <w:rFonts w:ascii="Swiss 72 1 BT" w:eastAsiaTheme="minorHAnsi" w:hAnsi="Swiss 72 1 BT" w:cstheme="minorBidi"/>
      <w:color w:val="auto"/>
    </w:rPr>
  </w:style>
  <w:style w:type="table" w:customStyle="1" w:styleId="TableGrid31">
    <w:name w:val="Table Grid3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A74"/>
  </w:style>
  <w:style w:type="table" w:customStyle="1" w:styleId="TableGrid6">
    <w:name w:val="Table Grid6"/>
    <w:basedOn w:val="TableNormal"/>
    <w:next w:val="TableGrid"/>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
    <w:name w:val="Table List 41"/>
    <w:basedOn w:val="TableNormal"/>
    <w:next w:val="TableList4"/>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
    <w:name w:val="Table Grid1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Normal"/>
    <w:next w:val="Normal"/>
    <w:rsid w:val="00CC0A74"/>
    <w:pPr>
      <w:autoSpaceDE/>
      <w:autoSpaceDN/>
      <w:adjustRightInd/>
      <w:spacing w:after="60"/>
      <w:jc w:val="left"/>
    </w:pPr>
    <w:rPr>
      <w:rFonts w:eastAsia="Times New Roman" w:cs="Arial"/>
      <w:caps/>
      <w:color w:val="auto"/>
      <w:sz w:val="36"/>
      <w:szCs w:val="20"/>
      <w:lang w:val="en-US"/>
    </w:rPr>
  </w:style>
  <w:style w:type="character" w:styleId="CommentReference">
    <w:name w:val="annotation reference"/>
    <w:basedOn w:val="DefaultParagraphFont"/>
    <w:uiPriority w:val="99"/>
    <w:rsid w:val="00CC0A74"/>
    <w:rPr>
      <w:sz w:val="16"/>
      <w:szCs w:val="16"/>
    </w:rPr>
  </w:style>
  <w:style w:type="paragraph" w:styleId="CommentSubject">
    <w:name w:val="annotation subject"/>
    <w:basedOn w:val="CommentText"/>
    <w:next w:val="CommentText"/>
    <w:link w:val="CommentSubjectChar"/>
    <w:semiHidden/>
    <w:unhideWhenUsed/>
    <w:rsid w:val="00CC0A74"/>
    <w:pPr>
      <w:autoSpaceDE w:val="0"/>
      <w:autoSpaceDN w:val="0"/>
      <w:adjustRightInd w:val="0"/>
      <w:spacing w:after="120"/>
      <w:jc w:val="both"/>
    </w:pPr>
    <w:rPr>
      <w:rFonts w:eastAsia="Calibri" w:cs="Helvetica-Light"/>
      <w:b/>
      <w:bCs/>
      <w:color w:val="000000"/>
    </w:rPr>
  </w:style>
  <w:style w:type="character" w:customStyle="1" w:styleId="CommentSubjectChar">
    <w:name w:val="Comment Subject Char"/>
    <w:basedOn w:val="CommentTextChar1"/>
    <w:link w:val="CommentSubject"/>
    <w:semiHidden/>
    <w:rsid w:val="00CC0A74"/>
    <w:rPr>
      <w:rFonts w:ascii="Arial" w:eastAsia="Calibri" w:hAnsi="Arial" w:cs="Helvetica-Light"/>
      <w:b/>
      <w:bCs/>
      <w:color w:val="000000"/>
      <w:sz w:val="20"/>
      <w:szCs w:val="20"/>
    </w:rPr>
  </w:style>
  <w:style w:type="paragraph" w:styleId="BlockText">
    <w:name w:val="Block Text"/>
    <w:basedOn w:val="Normal"/>
    <w:uiPriority w:val="99"/>
    <w:rsid w:val="00CC0A74"/>
    <w:pPr>
      <w:tabs>
        <w:tab w:val="left" w:pos="2520"/>
      </w:tabs>
      <w:autoSpaceDE/>
      <w:autoSpaceDN/>
      <w:adjustRightInd/>
      <w:spacing w:after="0"/>
      <w:ind w:left="1440" w:right="29"/>
      <w:jc w:val="right"/>
    </w:pPr>
    <w:rPr>
      <w:rFonts w:eastAsia="Times New Roman" w:cs="Times New Roman"/>
      <w:color w:val="auto"/>
      <w:spacing w:val="60"/>
    </w:rPr>
  </w:style>
  <w:style w:type="paragraph" w:styleId="BodyTextIndent2">
    <w:name w:val="Body Text Indent 2"/>
    <w:basedOn w:val="Normal"/>
    <w:link w:val="BodyTextIndent2Char"/>
    <w:rsid w:val="00CC0A74"/>
    <w:pPr>
      <w:tabs>
        <w:tab w:val="left" w:pos="1455"/>
        <w:tab w:val="left" w:pos="6885"/>
      </w:tabs>
      <w:autoSpaceDE/>
      <w:autoSpaceDN/>
      <w:adjustRightInd/>
      <w:spacing w:after="0"/>
      <w:ind w:left="810" w:hanging="810"/>
    </w:pPr>
    <w:rPr>
      <w:rFonts w:ascii="Helv" w:eastAsia="Times New Roman" w:hAnsi="Helv" w:cs="Times New Roman"/>
      <w:color w:val="auto"/>
      <w:szCs w:val="20"/>
    </w:rPr>
  </w:style>
  <w:style w:type="character" w:customStyle="1" w:styleId="BodyTextIndent2Char">
    <w:name w:val="Body Text Indent 2 Char"/>
    <w:basedOn w:val="DefaultParagraphFont"/>
    <w:link w:val="BodyTextIndent2"/>
    <w:rsid w:val="00CC0A74"/>
    <w:rPr>
      <w:rFonts w:ascii="Helv" w:eastAsia="Times New Roman" w:hAnsi="Helv" w:cs="Times New Roman"/>
      <w:sz w:val="24"/>
      <w:szCs w:val="20"/>
    </w:rPr>
  </w:style>
  <w:style w:type="paragraph" w:styleId="BodyTextIndent3">
    <w:name w:val="Body Text Indent 3"/>
    <w:basedOn w:val="Normal"/>
    <w:link w:val="BodyTextIndent3Char"/>
    <w:uiPriority w:val="99"/>
    <w:rsid w:val="00CC0A74"/>
    <w:pPr>
      <w:autoSpaceDE/>
      <w:autoSpaceDN/>
      <w:adjustRightInd/>
      <w:ind w:left="283"/>
      <w:jc w:val="left"/>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uiPriority w:val="99"/>
    <w:rsid w:val="00CC0A74"/>
    <w:rPr>
      <w:rFonts w:ascii="Times New Roman" w:eastAsia="Times New Roman" w:hAnsi="Times New Roman" w:cs="Times New Roman"/>
      <w:sz w:val="16"/>
      <w:szCs w:val="16"/>
    </w:rPr>
  </w:style>
  <w:style w:type="paragraph" w:styleId="DocumentMap">
    <w:name w:val="Document Map"/>
    <w:basedOn w:val="Normal"/>
    <w:link w:val="DocumentMapChar"/>
    <w:uiPriority w:val="99"/>
    <w:semiHidden/>
    <w:rsid w:val="00CC0A74"/>
    <w:pPr>
      <w:shd w:val="clear" w:color="auto" w:fill="000080"/>
      <w:autoSpaceDE/>
      <w:autoSpaceDN/>
      <w:adjustRightInd/>
      <w:spacing w:after="0"/>
      <w:jc w:val="left"/>
    </w:pPr>
    <w:rPr>
      <w:rFonts w:ascii="Tahoma" w:eastAsia="Times New Roman" w:hAnsi="Tahoma" w:cs="Tahoma"/>
      <w:color w:val="auto"/>
    </w:rPr>
  </w:style>
  <w:style w:type="character" w:customStyle="1" w:styleId="DocumentMapChar">
    <w:name w:val="Document Map Char"/>
    <w:basedOn w:val="DefaultParagraphFont"/>
    <w:link w:val="DocumentMap"/>
    <w:uiPriority w:val="99"/>
    <w:semiHidden/>
    <w:rsid w:val="00CC0A74"/>
    <w:rPr>
      <w:rFonts w:ascii="Tahoma" w:eastAsia="Times New Roman" w:hAnsi="Tahoma" w:cs="Tahoma"/>
      <w:sz w:val="24"/>
      <w:szCs w:val="24"/>
      <w:shd w:val="clear" w:color="auto" w:fill="000080"/>
    </w:rPr>
  </w:style>
  <w:style w:type="character" w:styleId="Strong">
    <w:name w:val="Strong"/>
    <w:basedOn w:val="DefaultParagraphFont"/>
    <w:uiPriority w:val="22"/>
    <w:qFormat/>
    <w:rsid w:val="00CC0A74"/>
    <w:rPr>
      <w:rFonts w:cs="Times New Roman"/>
      <w:b/>
    </w:rPr>
  </w:style>
  <w:style w:type="paragraph" w:customStyle="1" w:styleId="BodytextCharCharChar">
    <w:name w:val="Body text Char Char Char"/>
    <w:basedOn w:val="Normal"/>
    <w:link w:val="BodytextCharCharCharChar"/>
    <w:uiPriority w:val="99"/>
    <w:rsid w:val="00CC0A74"/>
    <w:pPr>
      <w:autoSpaceDE/>
      <w:autoSpaceDN/>
      <w:adjustRightInd/>
      <w:spacing w:before="140" w:after="140"/>
      <w:ind w:left="397"/>
      <w:jc w:val="left"/>
    </w:pPr>
    <w:rPr>
      <w:rFonts w:eastAsia="Times New Roman" w:cs="Times New Roman"/>
      <w:color w:val="auto"/>
      <w:lang w:eastAsia="en-GB"/>
    </w:rPr>
  </w:style>
  <w:style w:type="character" w:customStyle="1" w:styleId="BodytextCharCharCharChar">
    <w:name w:val="Body text Char Char Char Char"/>
    <w:link w:val="BodytextCharCharChar"/>
    <w:uiPriority w:val="99"/>
    <w:locked/>
    <w:rsid w:val="00CC0A74"/>
    <w:rPr>
      <w:rFonts w:ascii="Arial" w:eastAsia="Times New Roman" w:hAnsi="Arial" w:cs="Times New Roman"/>
      <w:sz w:val="24"/>
      <w:szCs w:val="24"/>
      <w:lang w:eastAsia="en-GB"/>
    </w:rPr>
  </w:style>
  <w:style w:type="paragraph" w:customStyle="1" w:styleId="BodytextChar0">
    <w:name w:val="Body text Char"/>
    <w:basedOn w:val="Normal"/>
    <w:uiPriority w:val="99"/>
    <w:rsid w:val="00CC0A74"/>
    <w:pPr>
      <w:autoSpaceDE/>
      <w:autoSpaceDN/>
      <w:adjustRightInd/>
      <w:spacing w:before="140" w:after="140"/>
      <w:ind w:left="397"/>
      <w:jc w:val="left"/>
    </w:pPr>
    <w:rPr>
      <w:rFonts w:eastAsia="Times New Roman" w:cs="Times New Roman"/>
      <w:color w:val="auto"/>
      <w:lang w:eastAsia="en-GB"/>
    </w:rPr>
  </w:style>
  <w:style w:type="paragraph" w:customStyle="1" w:styleId="bodytext0">
    <w:name w:val="bodytext"/>
    <w:basedOn w:val="Normal"/>
    <w:rsid w:val="00CC0A74"/>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paragraph" w:customStyle="1" w:styleId="HEADING">
    <w:name w:val="HEADING"/>
    <w:basedOn w:val="Title"/>
    <w:link w:val="HEADINGChar"/>
    <w:uiPriority w:val="99"/>
    <w:rsid w:val="00CC0A74"/>
    <w:pPr>
      <w:shd w:val="clear" w:color="auto" w:fill="000000"/>
      <w:tabs>
        <w:tab w:val="left" w:pos="2520"/>
      </w:tabs>
      <w:autoSpaceDE/>
      <w:autoSpaceDN/>
      <w:adjustRightInd/>
      <w:spacing w:after="0" w:line="360" w:lineRule="auto"/>
      <w:contextualSpacing w:val="0"/>
      <w:jc w:val="center"/>
    </w:pPr>
    <w:rPr>
      <w:rFonts w:ascii="Calibri" w:hAnsi="Calibri" w:cs="Times New Roman"/>
      <w:b/>
      <w:color w:val="FFFFFF"/>
      <w:spacing w:val="60"/>
      <w:kern w:val="0"/>
      <w:sz w:val="26"/>
      <w:szCs w:val="26"/>
    </w:rPr>
  </w:style>
  <w:style w:type="paragraph" w:styleId="NoSpacing">
    <w:name w:val="No Spacing"/>
    <w:link w:val="NoSpacingChar"/>
    <w:uiPriority w:val="99"/>
    <w:qFormat/>
    <w:rsid w:val="00CC0A74"/>
    <w:pPr>
      <w:spacing w:after="0" w:line="240" w:lineRule="auto"/>
    </w:pPr>
    <w:rPr>
      <w:rFonts w:ascii="Calibri" w:eastAsia="MS Mincho" w:hAnsi="Calibri" w:cs="Times New Roman"/>
      <w:lang w:val="en-US" w:eastAsia="ja-JP"/>
    </w:rPr>
  </w:style>
  <w:style w:type="character" w:customStyle="1" w:styleId="HEADINGChar">
    <w:name w:val="HEADING Char"/>
    <w:link w:val="HEADING"/>
    <w:uiPriority w:val="99"/>
    <w:locked/>
    <w:rsid w:val="00CC0A74"/>
    <w:rPr>
      <w:rFonts w:ascii="Calibri" w:eastAsia="Times New Roman" w:hAnsi="Calibri" w:cs="Times New Roman"/>
      <w:b/>
      <w:color w:val="FFFFFF"/>
      <w:spacing w:val="60"/>
      <w:sz w:val="26"/>
      <w:szCs w:val="26"/>
      <w:shd w:val="clear" w:color="auto" w:fill="000000"/>
    </w:rPr>
  </w:style>
  <w:style w:type="character" w:customStyle="1" w:styleId="NoSpacingChar">
    <w:name w:val="No Spacing Char"/>
    <w:link w:val="NoSpacing"/>
    <w:uiPriority w:val="99"/>
    <w:locked/>
    <w:rsid w:val="00CC0A74"/>
    <w:rPr>
      <w:rFonts w:ascii="Calibri" w:eastAsia="MS Mincho" w:hAnsi="Calibri" w:cs="Times New Roman"/>
      <w:lang w:val="en-US" w:eastAsia="ja-JP"/>
    </w:rPr>
  </w:style>
  <w:style w:type="paragraph" w:styleId="Subtitle">
    <w:name w:val="Subtitle"/>
    <w:basedOn w:val="Normal"/>
    <w:next w:val="Normal"/>
    <w:link w:val="SubtitleChar"/>
    <w:uiPriority w:val="99"/>
    <w:qFormat/>
    <w:rsid w:val="00CC0A74"/>
    <w:pPr>
      <w:numPr>
        <w:ilvl w:val="1"/>
      </w:numPr>
      <w:autoSpaceDE/>
      <w:autoSpaceDN/>
      <w:adjustRightInd/>
      <w:spacing w:after="200" w:line="276" w:lineRule="auto"/>
      <w:jc w:val="left"/>
    </w:pPr>
    <w:rPr>
      <w:rFonts w:ascii="Cambria" w:eastAsia="MS Gothic" w:hAnsi="Cambria" w:cs="Times New Roman"/>
      <w:i/>
      <w:iCs/>
      <w:color w:val="4F81BD"/>
      <w:spacing w:val="15"/>
      <w:lang w:val="en-US" w:eastAsia="ja-JP"/>
    </w:rPr>
  </w:style>
  <w:style w:type="character" w:customStyle="1" w:styleId="SubtitleChar">
    <w:name w:val="Subtitle Char"/>
    <w:basedOn w:val="DefaultParagraphFont"/>
    <w:link w:val="Subtitle"/>
    <w:uiPriority w:val="99"/>
    <w:rsid w:val="00CC0A74"/>
    <w:rPr>
      <w:rFonts w:ascii="Cambria" w:eastAsia="MS Gothic" w:hAnsi="Cambria" w:cs="Times New Roman"/>
      <w:i/>
      <w:iCs/>
      <w:color w:val="4F81BD"/>
      <w:spacing w:val="15"/>
      <w:sz w:val="24"/>
      <w:szCs w:val="24"/>
      <w:lang w:val="en-US" w:eastAsia="ja-JP"/>
    </w:rPr>
  </w:style>
  <w:style w:type="paragraph" w:customStyle="1" w:styleId="inlinenormal">
    <w:name w:val="inlinenormal"/>
    <w:basedOn w:val="Normal"/>
    <w:rsid w:val="00CC0A74"/>
    <w:pPr>
      <w:autoSpaceDE/>
      <w:adjustRightInd/>
      <w:spacing w:before="120" w:after="60" w:line="264" w:lineRule="auto"/>
      <w:jc w:val="left"/>
    </w:pPr>
    <w:rPr>
      <w:rFonts w:eastAsia="Times New Roman" w:cs="Arial"/>
      <w:color w:val="auto"/>
      <w:lang w:eastAsia="en-GB"/>
    </w:rPr>
  </w:style>
  <w:style w:type="character" w:styleId="Emphasis">
    <w:name w:val="Emphasis"/>
    <w:uiPriority w:val="20"/>
    <w:qFormat/>
    <w:rsid w:val="00CC0A74"/>
    <w:rPr>
      <w:i/>
      <w:iCs/>
    </w:rPr>
  </w:style>
  <w:style w:type="paragraph" w:customStyle="1" w:styleId="SOAHeading1">
    <w:name w:val="SOA Heading 1"/>
    <w:basedOn w:val="Normal"/>
    <w:autoRedefine/>
    <w:uiPriority w:val="2"/>
    <w:qFormat/>
    <w:rsid w:val="00CC0A74"/>
    <w:pPr>
      <w:jc w:val="left"/>
    </w:pPr>
    <w:rPr>
      <w:b/>
      <w:sz w:val="36"/>
      <w:szCs w:val="40"/>
    </w:rPr>
  </w:style>
  <w:style w:type="paragraph" w:customStyle="1" w:styleId="SOAHeading3numbered">
    <w:name w:val="SOA Heading 3 numbered"/>
    <w:basedOn w:val="Heading2"/>
    <w:autoRedefine/>
    <w:uiPriority w:val="2"/>
    <w:qFormat/>
    <w:rsid w:val="00CC0A74"/>
    <w:pPr>
      <w:spacing w:before="0" w:after="0"/>
    </w:pPr>
    <w:rPr>
      <w:rFonts w:ascii="Corbel" w:eastAsia="Arial Unicode MS" w:hAnsi="Corbel" w:cs="Arial Unicode MS"/>
    </w:rPr>
  </w:style>
  <w:style w:type="paragraph" w:customStyle="1" w:styleId="SOASub-heading1-Bold12">
    <w:name w:val="SOA Sub-heading 1 - Bold 12"/>
    <w:basedOn w:val="ListParagraph"/>
    <w:autoRedefine/>
    <w:uiPriority w:val="2"/>
    <w:qFormat/>
    <w:rsid w:val="00CC0A74"/>
    <w:pPr>
      <w:spacing w:after="0"/>
      <w:ind w:left="0"/>
    </w:pPr>
    <w:rPr>
      <w:rFonts w:ascii="Corbel" w:eastAsia="Arial Unicode MS" w:hAnsi="Corbel" w:cs="Arial Unicode MS"/>
      <w:b/>
      <w:bCs/>
      <w:color w:val="auto"/>
      <w:sz w:val="32"/>
      <w:szCs w:val="22"/>
    </w:rPr>
  </w:style>
  <w:style w:type="paragraph" w:customStyle="1" w:styleId="SOASub-heading2-Bold12">
    <w:name w:val="SOA Sub-heading 2 - Bold 12"/>
    <w:basedOn w:val="ListParagraph"/>
    <w:autoRedefine/>
    <w:uiPriority w:val="2"/>
    <w:qFormat/>
    <w:rsid w:val="00CC0A74"/>
    <w:pPr>
      <w:spacing w:after="0"/>
      <w:ind w:left="0"/>
      <w:contextualSpacing w:val="0"/>
    </w:pPr>
    <w:rPr>
      <w:rFonts w:ascii="Corbel" w:eastAsia="Arial Unicode MS" w:hAnsi="Corbel" w:cs="Arial Unicode MS"/>
      <w:b/>
      <w:color w:val="auto"/>
      <w:sz w:val="32"/>
      <w:szCs w:val="22"/>
      <w:lang w:eastAsia="en-GB"/>
    </w:rPr>
  </w:style>
  <w:style w:type="paragraph" w:customStyle="1" w:styleId="SOAHeadingMisc-Bold12">
    <w:name w:val="SOA Heading Misc - Bold 12"/>
    <w:basedOn w:val="Normal"/>
    <w:autoRedefine/>
    <w:uiPriority w:val="2"/>
    <w:qFormat/>
    <w:rsid w:val="00CC0A74"/>
    <w:pPr>
      <w:spacing w:after="0"/>
    </w:pPr>
    <w:rPr>
      <w:rFonts w:ascii="Corbel" w:eastAsia="Arial Unicode MS" w:hAnsi="Corbel" w:cs="Arial Unicode MS"/>
      <w:b/>
      <w:color w:val="auto"/>
      <w:sz w:val="32"/>
    </w:rPr>
  </w:style>
  <w:style w:type="paragraph" w:customStyle="1" w:styleId="Pa28">
    <w:name w:val="Pa28"/>
    <w:basedOn w:val="Default"/>
    <w:next w:val="Default"/>
    <w:uiPriority w:val="99"/>
    <w:rsid w:val="00CC0A74"/>
    <w:pPr>
      <w:spacing w:line="201" w:lineRule="atLeast"/>
    </w:pPr>
    <w:rPr>
      <w:rFonts w:ascii="FS Lola" w:eastAsiaTheme="minorHAnsi" w:hAnsi="FS Lola" w:cstheme="minorBidi"/>
      <w:color w:val="auto"/>
      <w:lang w:eastAsia="en-US"/>
    </w:rPr>
  </w:style>
  <w:style w:type="paragraph" w:customStyle="1" w:styleId="Pa24">
    <w:name w:val="Pa24"/>
    <w:basedOn w:val="Default"/>
    <w:next w:val="Default"/>
    <w:uiPriority w:val="99"/>
    <w:rsid w:val="00CC0A74"/>
    <w:pPr>
      <w:spacing w:line="231" w:lineRule="atLeast"/>
    </w:pPr>
    <w:rPr>
      <w:rFonts w:ascii="FS Lola" w:eastAsiaTheme="minorHAnsi" w:hAnsi="FS Lola" w:cstheme="minorBidi"/>
      <w:color w:val="auto"/>
      <w:lang w:eastAsia="en-US"/>
    </w:rPr>
  </w:style>
  <w:style w:type="character" w:customStyle="1" w:styleId="A12">
    <w:name w:val="A12"/>
    <w:uiPriority w:val="99"/>
    <w:rsid w:val="00CC0A74"/>
    <w:rPr>
      <w:rFonts w:ascii="FS Lola ExtraBold" w:hAnsi="FS Lola ExtraBold" w:cs="FS Lola ExtraBold"/>
      <w:b/>
      <w:bCs/>
      <w:color w:val="000000"/>
      <w:sz w:val="16"/>
      <w:szCs w:val="16"/>
    </w:rPr>
  </w:style>
  <w:style w:type="paragraph" w:customStyle="1" w:styleId="Pa29">
    <w:name w:val="Pa29"/>
    <w:basedOn w:val="Default"/>
    <w:next w:val="Default"/>
    <w:uiPriority w:val="99"/>
    <w:rsid w:val="00CC0A74"/>
    <w:pPr>
      <w:spacing w:line="201" w:lineRule="atLeast"/>
    </w:pPr>
    <w:rPr>
      <w:rFonts w:ascii="FS Lola" w:eastAsiaTheme="minorHAnsi" w:hAnsi="FS Lola" w:cstheme="minorBidi"/>
      <w:color w:val="auto"/>
      <w:lang w:eastAsia="en-US"/>
    </w:rPr>
  </w:style>
  <w:style w:type="character" w:customStyle="1" w:styleId="A3">
    <w:name w:val="A3"/>
    <w:uiPriority w:val="99"/>
    <w:rsid w:val="00CC0A74"/>
    <w:rPr>
      <w:rFonts w:cs="FS Lola"/>
      <w:color w:val="000000"/>
    </w:rPr>
  </w:style>
  <w:style w:type="character" w:customStyle="1" w:styleId="A14">
    <w:name w:val="A14"/>
    <w:uiPriority w:val="99"/>
    <w:rsid w:val="00CC0A74"/>
    <w:rPr>
      <w:rFonts w:cs="FS Lola"/>
      <w:b/>
      <w:bCs/>
      <w:color w:val="000000"/>
      <w:sz w:val="16"/>
      <w:szCs w:val="16"/>
    </w:rPr>
  </w:style>
  <w:style w:type="paragraph" w:customStyle="1" w:styleId="Pa75">
    <w:name w:val="Pa75"/>
    <w:basedOn w:val="Default"/>
    <w:next w:val="Default"/>
    <w:uiPriority w:val="99"/>
    <w:rsid w:val="00CC0A74"/>
    <w:pPr>
      <w:spacing w:line="171" w:lineRule="atLeast"/>
    </w:pPr>
    <w:rPr>
      <w:rFonts w:ascii="FS Lola" w:eastAsiaTheme="minorHAnsi" w:hAnsi="FS Lola" w:cstheme="minorBidi"/>
      <w:color w:val="auto"/>
      <w:lang w:eastAsia="en-US"/>
    </w:rPr>
  </w:style>
  <w:style w:type="paragraph" w:customStyle="1" w:styleId="Pa80">
    <w:name w:val="Pa80"/>
    <w:basedOn w:val="Default"/>
    <w:next w:val="Default"/>
    <w:uiPriority w:val="99"/>
    <w:rsid w:val="00CC0A74"/>
    <w:pPr>
      <w:spacing w:line="181" w:lineRule="atLeast"/>
    </w:pPr>
    <w:rPr>
      <w:rFonts w:ascii="FS Lola" w:eastAsiaTheme="minorHAnsi" w:hAnsi="FS Lola" w:cstheme="minorBidi"/>
      <w:color w:val="auto"/>
      <w:lang w:eastAsia="en-US"/>
    </w:rPr>
  </w:style>
  <w:style w:type="character" w:customStyle="1" w:styleId="A5">
    <w:name w:val="A5"/>
    <w:uiPriority w:val="99"/>
    <w:rsid w:val="00CC0A74"/>
    <w:rPr>
      <w:rFonts w:cs="FS Lola"/>
      <w:color w:val="000000"/>
      <w:sz w:val="18"/>
      <w:szCs w:val="18"/>
    </w:rPr>
  </w:style>
  <w:style w:type="paragraph" w:customStyle="1" w:styleId="Pa45">
    <w:name w:val="Pa45"/>
    <w:basedOn w:val="Default"/>
    <w:next w:val="Default"/>
    <w:uiPriority w:val="99"/>
    <w:rsid w:val="00CC0A74"/>
    <w:pPr>
      <w:spacing w:line="201" w:lineRule="atLeast"/>
    </w:pPr>
    <w:rPr>
      <w:rFonts w:ascii="FS Lola" w:eastAsiaTheme="minorHAnsi" w:hAnsi="FS Lola" w:cstheme="minorBidi"/>
      <w:color w:val="auto"/>
      <w:lang w:eastAsia="en-US"/>
    </w:rPr>
  </w:style>
  <w:style w:type="paragraph" w:styleId="TOCHeading">
    <w:name w:val="TOC Heading"/>
    <w:basedOn w:val="Heading1"/>
    <w:next w:val="Normal"/>
    <w:uiPriority w:val="39"/>
    <w:unhideWhenUsed/>
    <w:qFormat/>
    <w:rsid w:val="00CC0A74"/>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paragraph" w:customStyle="1" w:styleId="BodyText1">
    <w:name w:val="Body Text1"/>
    <w:basedOn w:val="Normal"/>
    <w:rsid w:val="00CC0A74"/>
    <w:pPr>
      <w:keepLines/>
      <w:spacing w:before="140" w:after="140"/>
    </w:pPr>
    <w:rPr>
      <w:rFonts w:eastAsia="Times New Roman"/>
      <w:color w:val="auto"/>
      <w:lang w:eastAsia="en-GB"/>
    </w:rPr>
  </w:style>
  <w:style w:type="paragraph" w:customStyle="1" w:styleId="Bodytextnumbered">
    <w:name w:val="Body text (numbered)"/>
    <w:basedOn w:val="Normal"/>
    <w:rsid w:val="00CC0A74"/>
    <w:pPr>
      <w:numPr>
        <w:numId w:val="27"/>
      </w:numPr>
      <w:autoSpaceDE/>
      <w:autoSpaceDN/>
      <w:adjustRightInd/>
      <w:spacing w:before="140" w:after="140"/>
      <w:jc w:val="left"/>
    </w:pPr>
    <w:rPr>
      <w:rFonts w:eastAsia="Times New Roman" w:cs="Times New Roman"/>
      <w:color w:val="auto"/>
      <w:lang w:eastAsia="en-GB"/>
    </w:rPr>
  </w:style>
  <w:style w:type="paragraph" w:customStyle="1" w:styleId="Body1">
    <w:name w:val="Body 1"/>
    <w:rsid w:val="00CC0A74"/>
    <w:pPr>
      <w:spacing w:after="200" w:line="276" w:lineRule="auto"/>
      <w:outlineLvl w:val="0"/>
    </w:pPr>
    <w:rPr>
      <w:rFonts w:ascii="Arial" w:eastAsia="Arial Unicode MS" w:hAnsi="Arial" w:cs="Times New Roman"/>
      <w:color w:val="000000"/>
      <w:sz w:val="24"/>
      <w:szCs w:val="20"/>
      <w:u w:color="000000"/>
      <w:lang w:eastAsia="en-GB"/>
    </w:rPr>
  </w:style>
  <w:style w:type="table" w:styleId="LightList-Accent3">
    <w:name w:val="Light List Accent 3"/>
    <w:basedOn w:val="TableNormal"/>
    <w:uiPriority w:val="61"/>
    <w:rsid w:val="00CC0A74"/>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BulletOne">
    <w:name w:val="BulletOne"/>
    <w:basedOn w:val="Normal"/>
    <w:rsid w:val="00CC0A74"/>
    <w:pPr>
      <w:numPr>
        <w:numId w:val="28"/>
      </w:numPr>
      <w:autoSpaceDE/>
      <w:autoSpaceDN/>
      <w:adjustRightInd/>
      <w:spacing w:after="0"/>
      <w:jc w:val="left"/>
    </w:pPr>
    <w:rPr>
      <w:rFonts w:eastAsia="Times New Roman" w:cs="Times New Roman"/>
      <w:color w:val="auto"/>
      <w:sz w:val="22"/>
      <w:szCs w:val="22"/>
      <w:lang w:eastAsia="en-GB"/>
    </w:rPr>
  </w:style>
  <w:style w:type="table" w:customStyle="1" w:styleId="PlainTable31">
    <w:name w:val="Plain Table 31"/>
    <w:basedOn w:val="TableNormal"/>
    <w:uiPriority w:val="43"/>
    <w:rsid w:val="00CC0A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22">
    <w:name w:val="Pa22"/>
    <w:basedOn w:val="Default"/>
    <w:next w:val="Default"/>
    <w:uiPriority w:val="99"/>
    <w:rsid w:val="00CC0A74"/>
    <w:pPr>
      <w:spacing w:line="281" w:lineRule="atLeast"/>
    </w:pPr>
    <w:rPr>
      <w:rFonts w:ascii="FS Lola" w:eastAsiaTheme="minorHAnsi" w:hAnsi="FS Lola" w:cstheme="minorBidi"/>
      <w:color w:val="auto"/>
      <w:lang w:eastAsia="en-US"/>
    </w:rPr>
  </w:style>
  <w:style w:type="paragraph" w:customStyle="1" w:styleId="Pa9">
    <w:name w:val="Pa9"/>
    <w:basedOn w:val="Default"/>
    <w:next w:val="Default"/>
    <w:uiPriority w:val="99"/>
    <w:rsid w:val="00CC0A74"/>
    <w:pPr>
      <w:spacing w:line="231" w:lineRule="atLeast"/>
    </w:pPr>
    <w:rPr>
      <w:rFonts w:ascii="FS Lola" w:eastAsiaTheme="minorHAnsi" w:hAnsi="FS Lola" w:cstheme="minorBidi"/>
      <w:color w:val="auto"/>
      <w:lang w:eastAsia="en-US"/>
    </w:rPr>
  </w:style>
  <w:style w:type="character" w:customStyle="1" w:styleId="A4">
    <w:name w:val="A4"/>
    <w:uiPriority w:val="99"/>
    <w:rsid w:val="00CC0A74"/>
    <w:rPr>
      <w:rFonts w:cs="FS Lola"/>
      <w:color w:val="000000"/>
      <w:sz w:val="23"/>
      <w:szCs w:val="23"/>
    </w:rPr>
  </w:style>
  <w:style w:type="numbering" w:customStyle="1" w:styleId="NoList2">
    <w:name w:val="No List2"/>
    <w:next w:val="NoList"/>
    <w:uiPriority w:val="99"/>
    <w:semiHidden/>
    <w:unhideWhenUsed/>
    <w:rsid w:val="00CC0A74"/>
  </w:style>
  <w:style w:type="table" w:customStyle="1" w:styleId="TableList42">
    <w:name w:val="Table List 42"/>
    <w:basedOn w:val="TableNormal"/>
    <w:next w:val="TableList4"/>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
    <w:name w:val="Table Grid1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0">
    <w:name w:val="Plain Table 31"/>
    <w:basedOn w:val="TableNormal"/>
    <w:uiPriority w:val="43"/>
    <w:rsid w:val="00CC0A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
    <w:name w:val="No List3"/>
    <w:next w:val="NoList"/>
    <w:uiPriority w:val="99"/>
    <w:semiHidden/>
    <w:unhideWhenUsed/>
    <w:rsid w:val="00CC0A74"/>
  </w:style>
  <w:style w:type="character" w:customStyle="1" w:styleId="A6">
    <w:name w:val="A6"/>
    <w:uiPriority w:val="99"/>
    <w:rsid w:val="00CC0A74"/>
    <w:rPr>
      <w:rFonts w:cs="Swiss 72 1 BT"/>
      <w:color w:val="000000"/>
      <w:sz w:val="22"/>
      <w:szCs w:val="22"/>
    </w:rPr>
  </w:style>
  <w:style w:type="character" w:customStyle="1" w:styleId="A10">
    <w:name w:val="A10"/>
    <w:uiPriority w:val="99"/>
    <w:rsid w:val="00CC0A74"/>
    <w:rPr>
      <w:rFonts w:cs="Swiss 72 1 BT"/>
      <w:color w:val="000000"/>
      <w:sz w:val="29"/>
      <w:szCs w:val="29"/>
    </w:rPr>
  </w:style>
  <w:style w:type="paragraph" w:customStyle="1" w:styleId="Pa4">
    <w:name w:val="Pa4"/>
    <w:basedOn w:val="Default"/>
    <w:next w:val="Default"/>
    <w:uiPriority w:val="99"/>
    <w:rsid w:val="00CC0A74"/>
    <w:pPr>
      <w:spacing w:line="241" w:lineRule="atLeast"/>
    </w:pPr>
    <w:rPr>
      <w:rFonts w:ascii="Swiss 72 1 BT" w:eastAsia="Cambria" w:hAnsi="Swiss 72 1 BT" w:cs="Times New Roman"/>
      <w:color w:val="auto"/>
    </w:rPr>
  </w:style>
  <w:style w:type="paragraph" w:customStyle="1" w:styleId="Pa1">
    <w:name w:val="Pa1"/>
    <w:basedOn w:val="Default"/>
    <w:next w:val="Default"/>
    <w:uiPriority w:val="99"/>
    <w:rsid w:val="00CC0A74"/>
    <w:pPr>
      <w:spacing w:line="241" w:lineRule="atLeast"/>
    </w:pPr>
    <w:rPr>
      <w:rFonts w:ascii="Swiss 72 1 BT" w:eastAsia="Cambria" w:hAnsi="Swiss 72 1 BT" w:cs="Times New Roman"/>
      <w:color w:val="auto"/>
    </w:rPr>
  </w:style>
  <w:style w:type="paragraph" w:customStyle="1" w:styleId="Pa15">
    <w:name w:val="Pa15"/>
    <w:basedOn w:val="Default"/>
    <w:next w:val="Default"/>
    <w:uiPriority w:val="99"/>
    <w:rsid w:val="00EC2A00"/>
    <w:pPr>
      <w:spacing w:line="211" w:lineRule="atLeast"/>
    </w:pPr>
    <w:rPr>
      <w:rFonts w:ascii="FS Lola" w:eastAsiaTheme="minorHAnsi" w:hAnsi="FS Lola" w:cstheme="minorBidi"/>
      <w:color w:val="auto"/>
      <w:lang w:eastAsia="en-US"/>
    </w:rPr>
  </w:style>
  <w:style w:type="paragraph" w:customStyle="1" w:styleId="AppendixTitle">
    <w:name w:val="*Appendix Title"/>
    <w:basedOn w:val="SectionHeading"/>
    <w:next w:val="Normal"/>
    <w:uiPriority w:val="2"/>
    <w:qFormat/>
    <w:rsid w:val="003C5B75"/>
  </w:style>
  <w:style w:type="paragraph" w:customStyle="1" w:styleId="AppendixSubtitle">
    <w:name w:val="*Appendix Subtitle"/>
    <w:basedOn w:val="Heading10"/>
    <w:next w:val="Normal"/>
    <w:uiPriority w:val="3"/>
    <w:qFormat/>
    <w:rsid w:val="003C5B75"/>
  </w:style>
  <w:style w:type="paragraph" w:customStyle="1" w:styleId="Footer0">
    <w:name w:val="*Footer"/>
    <w:uiPriority w:val="3"/>
    <w:qFormat/>
    <w:rsid w:val="003C5B75"/>
    <w:pPr>
      <w:tabs>
        <w:tab w:val="right" w:pos="9634"/>
      </w:tabs>
      <w:spacing w:after="0" w:line="240" w:lineRule="auto"/>
    </w:pPr>
    <w:rPr>
      <w:rFonts w:ascii="Arial" w:eastAsia="Times New Roman" w:hAnsi="Arial" w:cs="Times New Roman"/>
      <w:caps/>
      <w:color w:val="7C848A"/>
      <w:spacing w:val="40"/>
      <w:sz w:val="16"/>
      <w:lang w:val="en-US"/>
    </w:rPr>
  </w:style>
  <w:style w:type="paragraph" w:customStyle="1" w:styleId="ReportTitle">
    <w:name w:val="*Report Title"/>
    <w:uiPriority w:val="1"/>
    <w:qFormat/>
    <w:rsid w:val="003C5B75"/>
    <w:pPr>
      <w:spacing w:after="0" w:line="240" w:lineRule="auto"/>
    </w:pPr>
    <w:rPr>
      <w:rFonts w:ascii="Arial" w:eastAsia="Times New Roman" w:hAnsi="Arial" w:cs="Times New Roman"/>
      <w:caps/>
      <w:color w:val="7C848A"/>
      <w:spacing w:val="40"/>
      <w:sz w:val="16"/>
      <w:lang w:val="en-US"/>
    </w:rPr>
  </w:style>
  <w:style w:type="paragraph" w:customStyle="1" w:styleId="SectionNumber">
    <w:name w:val="*Section Number"/>
    <w:next w:val="SectionHeading"/>
    <w:uiPriority w:val="1"/>
    <w:qFormat/>
    <w:rsid w:val="003C5B75"/>
    <w:pPr>
      <w:pageBreakBefore/>
      <w:shd w:val="clear" w:color="FFFFFF" w:fill="auto"/>
      <w:spacing w:after="0" w:line="240" w:lineRule="auto"/>
      <w:outlineLvl w:val="0"/>
    </w:pPr>
    <w:rPr>
      <w:rFonts w:ascii="Arial" w:eastAsia="Times New Roman" w:hAnsi="Arial" w:cs="Times New Roman"/>
      <w:b/>
      <w:caps/>
      <w:color w:val="002C77"/>
      <w:spacing w:val="60"/>
      <w:sz w:val="72"/>
      <w:szCs w:val="44"/>
      <w:lang w:val="en-US"/>
    </w:rPr>
  </w:style>
  <w:style w:type="paragraph" w:customStyle="1" w:styleId="SectionHeading">
    <w:name w:val="*Section Heading"/>
    <w:next w:val="DocumentText"/>
    <w:uiPriority w:val="1"/>
    <w:qFormat/>
    <w:rsid w:val="003C5B75"/>
    <w:pPr>
      <w:spacing w:after="360" w:line="240" w:lineRule="auto"/>
      <w:ind w:right="-6"/>
      <w:outlineLvl w:val="1"/>
    </w:pPr>
    <w:rPr>
      <w:rFonts w:ascii="Arial" w:eastAsia="Times New Roman" w:hAnsi="Arial" w:cs="Times New Roman"/>
      <w:caps/>
      <w:color w:val="00A8C8"/>
      <w:spacing w:val="40"/>
      <w:sz w:val="36"/>
      <w:szCs w:val="28"/>
      <w:lang w:val="en-US"/>
    </w:rPr>
  </w:style>
  <w:style w:type="paragraph" w:customStyle="1" w:styleId="Heading10">
    <w:name w:val="*Heading 1"/>
    <w:next w:val="DocumentText"/>
    <w:uiPriority w:val="1"/>
    <w:qFormat/>
    <w:rsid w:val="003C5B75"/>
    <w:pPr>
      <w:spacing w:after="0" w:line="300" w:lineRule="exact"/>
      <w:outlineLvl w:val="2"/>
    </w:pPr>
    <w:rPr>
      <w:rFonts w:ascii="Arial" w:eastAsia="Times New Roman" w:hAnsi="Arial" w:cs="Times New Roman"/>
      <w:caps/>
      <w:color w:val="002C77"/>
      <w:spacing w:val="30"/>
      <w:szCs w:val="26"/>
      <w:lang w:val="en-US"/>
    </w:rPr>
  </w:style>
  <w:style w:type="paragraph" w:customStyle="1" w:styleId="Heading20">
    <w:name w:val="*Heading 2"/>
    <w:next w:val="DocumentText"/>
    <w:uiPriority w:val="1"/>
    <w:qFormat/>
    <w:rsid w:val="003C5B75"/>
    <w:pPr>
      <w:spacing w:after="0" w:line="300" w:lineRule="exact"/>
    </w:pPr>
    <w:rPr>
      <w:rFonts w:ascii="Arial" w:eastAsia="Times New Roman" w:hAnsi="Arial" w:cs="Times New Roman"/>
      <w:b/>
      <w:color w:val="006D9E"/>
      <w:spacing w:val="5"/>
      <w:lang w:val="en-US"/>
    </w:rPr>
  </w:style>
  <w:style w:type="paragraph" w:customStyle="1" w:styleId="Heading30">
    <w:name w:val="*Heading 3"/>
    <w:next w:val="DocumentText"/>
    <w:uiPriority w:val="1"/>
    <w:qFormat/>
    <w:rsid w:val="003C5B75"/>
    <w:pPr>
      <w:spacing w:after="0" w:line="300" w:lineRule="exact"/>
    </w:pPr>
    <w:rPr>
      <w:rFonts w:ascii="Arial" w:eastAsia="Times New Roman" w:hAnsi="Arial" w:cs="Times New Roman"/>
      <w:b/>
      <w:color w:val="7C848A"/>
      <w:lang w:val="en-US"/>
    </w:rPr>
  </w:style>
  <w:style w:type="paragraph" w:customStyle="1" w:styleId="DocumentText">
    <w:name w:val="*Document Text"/>
    <w:link w:val="DocumentTextChar"/>
    <w:qFormat/>
    <w:rsid w:val="003C5B75"/>
    <w:pPr>
      <w:spacing w:after="240" w:line="300" w:lineRule="exact"/>
    </w:pPr>
    <w:rPr>
      <w:rFonts w:ascii="Arial" w:eastAsia="Times New Roman" w:hAnsi="Arial" w:cs="Times New Roman"/>
      <w:color w:val="7C848A"/>
      <w:lang w:val="en-US"/>
    </w:rPr>
  </w:style>
  <w:style w:type="paragraph" w:customStyle="1" w:styleId="Bullet1">
    <w:name w:val="*Bullet 1"/>
    <w:uiPriority w:val="1"/>
    <w:qFormat/>
    <w:rsid w:val="003C5B75"/>
    <w:pPr>
      <w:numPr>
        <w:numId w:val="37"/>
      </w:numPr>
      <w:spacing w:after="0" w:line="300" w:lineRule="exact"/>
    </w:pPr>
    <w:rPr>
      <w:rFonts w:ascii="Arial" w:eastAsia="Times New Roman" w:hAnsi="Arial" w:cs="Times New Roman"/>
      <w:color w:val="7C848A"/>
      <w:lang w:val="en-US"/>
    </w:rPr>
  </w:style>
  <w:style w:type="paragraph" w:customStyle="1" w:styleId="Bullet2">
    <w:name w:val="*Bullet 2"/>
    <w:uiPriority w:val="1"/>
    <w:qFormat/>
    <w:rsid w:val="003C5B75"/>
    <w:pPr>
      <w:numPr>
        <w:numId w:val="43"/>
      </w:numPr>
      <w:spacing w:after="0" w:line="300" w:lineRule="exact"/>
    </w:pPr>
    <w:rPr>
      <w:rFonts w:ascii="Arial" w:eastAsia="Times New Roman" w:hAnsi="Arial" w:cs="Times New Roman"/>
      <w:color w:val="7C848A"/>
      <w:lang w:val="en-US"/>
    </w:rPr>
  </w:style>
  <w:style w:type="paragraph" w:customStyle="1" w:styleId="DocumentTOCHeading">
    <w:name w:val="*Document TOC Heading"/>
    <w:next w:val="DocumentText"/>
    <w:uiPriority w:val="1"/>
    <w:qFormat/>
    <w:rsid w:val="003C5B75"/>
    <w:pPr>
      <w:shd w:val="clear" w:color="FFFFFF" w:fill="auto"/>
      <w:spacing w:before="1800" w:after="500" w:line="240" w:lineRule="auto"/>
    </w:pPr>
    <w:rPr>
      <w:rFonts w:ascii="Arial" w:eastAsia="Times New Roman" w:hAnsi="Arial" w:cs="Times New Roman"/>
      <w:b/>
      <w:smallCaps/>
      <w:color w:val="7C848A"/>
      <w:spacing w:val="40"/>
      <w:sz w:val="36"/>
      <w:szCs w:val="44"/>
      <w:lang w:val="en-US"/>
    </w:rPr>
  </w:style>
  <w:style w:type="paragraph" w:customStyle="1" w:styleId="TableHead">
    <w:name w:val="*Table Head"/>
    <w:uiPriority w:val="1"/>
    <w:qFormat/>
    <w:rsid w:val="003C5B75"/>
    <w:pPr>
      <w:keepNext/>
      <w:spacing w:after="0" w:line="240" w:lineRule="auto"/>
    </w:pPr>
    <w:rPr>
      <w:rFonts w:ascii="Arial" w:eastAsia="Times New Roman" w:hAnsi="Arial" w:cs="Times New Roman"/>
      <w:b/>
      <w:color w:val="FFFFFF" w:themeColor="background1"/>
      <w:sz w:val="18"/>
      <w:lang w:val="en-US"/>
    </w:rPr>
  </w:style>
  <w:style w:type="paragraph" w:customStyle="1" w:styleId="TableText0">
    <w:name w:val="*Table Text"/>
    <w:uiPriority w:val="1"/>
    <w:qFormat/>
    <w:rsid w:val="003C5B75"/>
    <w:pPr>
      <w:spacing w:before="40" w:after="40" w:line="240" w:lineRule="auto"/>
    </w:pPr>
    <w:rPr>
      <w:rFonts w:ascii="Arial" w:eastAsia="Times New Roman" w:hAnsi="Arial" w:cs="Times New Roman"/>
      <w:color w:val="7C848A"/>
      <w:sz w:val="20"/>
      <w:lang w:val="en-US"/>
    </w:rPr>
  </w:style>
  <w:style w:type="paragraph" w:customStyle="1" w:styleId="ProposalTitle">
    <w:name w:val="*Proposal Title"/>
    <w:next w:val="ProposalSubtitle"/>
    <w:uiPriority w:val="1"/>
    <w:qFormat/>
    <w:rsid w:val="003C5B75"/>
    <w:pPr>
      <w:spacing w:before="1000" w:after="240" w:line="240" w:lineRule="auto"/>
    </w:pPr>
    <w:rPr>
      <w:rFonts w:ascii="Arial" w:eastAsia="Times New Roman" w:hAnsi="Arial" w:cs="Times New Roman"/>
      <w:b/>
      <w:caps/>
      <w:color w:val="002C77"/>
      <w:spacing w:val="40"/>
      <w:sz w:val="52"/>
      <w:szCs w:val="48"/>
      <w:lang w:val="en-US"/>
    </w:rPr>
  </w:style>
  <w:style w:type="paragraph" w:customStyle="1" w:styleId="ProposalSubtitle">
    <w:name w:val="*Proposal Subtitle"/>
    <w:next w:val="DocumentText"/>
    <w:uiPriority w:val="1"/>
    <w:qFormat/>
    <w:rsid w:val="003C5B75"/>
    <w:pPr>
      <w:spacing w:before="480" w:after="480" w:line="240" w:lineRule="auto"/>
    </w:pPr>
    <w:rPr>
      <w:rFonts w:ascii="Arial" w:eastAsia="Times New Roman" w:hAnsi="Arial" w:cs="Times New Roman"/>
      <w:color w:val="7C848A"/>
      <w:spacing w:val="10"/>
      <w:sz w:val="28"/>
      <w:szCs w:val="36"/>
      <w:lang w:val="en-US"/>
    </w:rPr>
  </w:style>
  <w:style w:type="paragraph" w:customStyle="1" w:styleId="TitlePageClientName">
    <w:name w:val="*Title Page Client Name"/>
    <w:uiPriority w:val="1"/>
    <w:qFormat/>
    <w:rsid w:val="003C5B75"/>
    <w:pPr>
      <w:spacing w:before="240" w:after="240" w:line="240" w:lineRule="auto"/>
    </w:pPr>
    <w:rPr>
      <w:rFonts w:ascii="Arial" w:eastAsia="Times New Roman" w:hAnsi="Arial" w:cs="Times New Roman"/>
      <w:caps/>
      <w:color w:val="00A8C8"/>
      <w:spacing w:val="40"/>
      <w:sz w:val="52"/>
      <w:lang w:val="en-US"/>
    </w:rPr>
  </w:style>
  <w:style w:type="paragraph" w:customStyle="1" w:styleId="TitlePageDate">
    <w:name w:val="*Title Page Date"/>
    <w:uiPriority w:val="1"/>
    <w:qFormat/>
    <w:rsid w:val="003C5B75"/>
    <w:pPr>
      <w:spacing w:before="480" w:after="480" w:line="240" w:lineRule="auto"/>
    </w:pPr>
    <w:rPr>
      <w:rFonts w:ascii="Arial" w:eastAsia="Times New Roman" w:hAnsi="Arial" w:cs="Times New Roman"/>
      <w:caps/>
      <w:color w:val="00A8C8"/>
      <w:spacing w:val="40"/>
      <w:sz w:val="36"/>
      <w:szCs w:val="24"/>
      <w:lang w:val="en-US"/>
    </w:rPr>
  </w:style>
  <w:style w:type="paragraph" w:customStyle="1" w:styleId="TitlePageHWCLockup">
    <w:name w:val="*Title Page HWC Lockup"/>
    <w:next w:val="TitlePageClientName"/>
    <w:uiPriority w:val="3"/>
    <w:qFormat/>
    <w:rsid w:val="003C5B75"/>
    <w:pPr>
      <w:spacing w:after="0" w:line="240" w:lineRule="auto"/>
    </w:pPr>
    <w:rPr>
      <w:rFonts w:ascii="Arial" w:eastAsia="Times New Roman" w:hAnsi="Arial" w:cs="Times New Roman"/>
      <w:b/>
      <w:caps/>
      <w:color w:val="7C848A"/>
      <w:spacing w:val="40"/>
      <w:sz w:val="20"/>
      <w:lang w:val="en-US"/>
    </w:rPr>
  </w:style>
  <w:style w:type="paragraph" w:customStyle="1" w:styleId="QuestionHeader">
    <w:name w:val="*Question Header"/>
    <w:next w:val="Normal"/>
    <w:uiPriority w:val="1"/>
    <w:rsid w:val="003C5B75"/>
    <w:pPr>
      <w:spacing w:after="120" w:line="300" w:lineRule="exact"/>
    </w:pPr>
    <w:rPr>
      <w:rFonts w:ascii="Arial" w:eastAsia="Times New Roman" w:hAnsi="Arial" w:cs="Times New Roman"/>
      <w:caps/>
      <w:color w:val="00A8C8"/>
      <w:spacing w:val="40"/>
      <w:lang w:val="en-US"/>
    </w:rPr>
  </w:style>
  <w:style w:type="paragraph" w:customStyle="1" w:styleId="Questions">
    <w:name w:val="*Questions"/>
    <w:next w:val="DocumentText"/>
    <w:uiPriority w:val="1"/>
    <w:qFormat/>
    <w:rsid w:val="003C5B75"/>
    <w:pPr>
      <w:spacing w:after="0" w:line="300" w:lineRule="exact"/>
      <w:ind w:left="709" w:hanging="709"/>
    </w:pPr>
    <w:rPr>
      <w:rFonts w:ascii="Arial" w:eastAsia="Times New Roman" w:hAnsi="Arial" w:cs="Times New Roman"/>
      <w:b/>
      <w:color w:val="00A8C8"/>
      <w:spacing w:val="5"/>
    </w:rPr>
  </w:style>
  <w:style w:type="paragraph" w:customStyle="1" w:styleId="TitlePageTagline">
    <w:name w:val="*Title Page Tagline"/>
    <w:uiPriority w:val="99"/>
    <w:rsid w:val="003C5B75"/>
    <w:pPr>
      <w:spacing w:before="60" w:after="60" w:line="300" w:lineRule="exact"/>
    </w:pPr>
    <w:rPr>
      <w:rFonts w:ascii="Arial" w:eastAsia="Times New Roman" w:hAnsi="Arial" w:cs="Times New Roman"/>
      <w:b/>
      <w:color w:val="7C848A"/>
      <w:sz w:val="36"/>
      <w:lang w:val="en-US"/>
    </w:rPr>
  </w:style>
  <w:style w:type="paragraph" w:customStyle="1" w:styleId="ClientNameHeader">
    <w:name w:val="*Client Name Header"/>
    <w:basedOn w:val="ReportTitle"/>
    <w:uiPriority w:val="3"/>
    <w:qFormat/>
    <w:rsid w:val="003C5B75"/>
    <w:pPr>
      <w:jc w:val="right"/>
    </w:pPr>
    <w:rPr>
      <w:b/>
    </w:rPr>
  </w:style>
  <w:style w:type="paragraph" w:customStyle="1" w:styleId="Bullet3">
    <w:name w:val="*Bullet 3"/>
    <w:basedOn w:val="Bullet2"/>
    <w:uiPriority w:val="1"/>
    <w:qFormat/>
    <w:rsid w:val="003C5B75"/>
    <w:pPr>
      <w:numPr>
        <w:numId w:val="44"/>
      </w:numPr>
    </w:pPr>
  </w:style>
  <w:style w:type="paragraph" w:customStyle="1" w:styleId="TableTitle0">
    <w:name w:val="*Table Title"/>
    <w:uiPriority w:val="2"/>
    <w:qFormat/>
    <w:rsid w:val="003C5B75"/>
    <w:pPr>
      <w:spacing w:after="240" w:line="300" w:lineRule="exact"/>
    </w:pPr>
    <w:rPr>
      <w:rFonts w:ascii="Arial" w:eastAsia="Times New Roman" w:hAnsi="Arial" w:cs="Times New Roman"/>
      <w:b/>
      <w:caps/>
      <w:color w:val="00A8C8"/>
      <w:spacing w:val="60"/>
      <w:lang w:val="en-US"/>
    </w:rPr>
  </w:style>
  <w:style w:type="paragraph" w:customStyle="1" w:styleId="TableNormal0">
    <w:name w:val="*Table Normal"/>
    <w:uiPriority w:val="2"/>
    <w:qFormat/>
    <w:rsid w:val="003C5B75"/>
    <w:pPr>
      <w:spacing w:before="60" w:after="60" w:line="260" w:lineRule="exact"/>
    </w:pPr>
    <w:rPr>
      <w:rFonts w:ascii="Arial" w:eastAsia="Times New Roman" w:hAnsi="Arial" w:cs="Times New Roman"/>
      <w:color w:val="7C848A"/>
      <w:sz w:val="20"/>
      <w:lang w:val="en-US"/>
    </w:rPr>
  </w:style>
  <w:style w:type="table" w:customStyle="1" w:styleId="MercerTable">
    <w:name w:val="*Mercer Table"/>
    <w:basedOn w:val="TableNormal"/>
    <w:uiPriority w:val="99"/>
    <w:rsid w:val="003C5B75"/>
    <w:pPr>
      <w:spacing w:after="0" w:line="240" w:lineRule="auto"/>
    </w:pPr>
    <w:rPr>
      <w:rFonts w:ascii="Arial" w:eastAsia="Times New Roman" w:hAnsi="Arial" w:cs="Times New Roman"/>
      <w:sz w:val="18"/>
      <w:szCs w:val="20"/>
      <w:lang w:val="en-US"/>
    </w:rPr>
    <w:tblPr/>
    <w:tblStylePr w:type="firstRow">
      <w:rPr>
        <w:rFonts w:ascii="Arial" w:hAnsi="Arial"/>
        <w:color w:val="FFFFFF" w:themeColor="background1"/>
        <w:sz w:val="18"/>
      </w:rPr>
      <w:tblPr/>
      <w:tcPr>
        <w:shd w:val="clear" w:color="auto" w:fill="00A8C8"/>
      </w:tcPr>
    </w:tblStylePr>
  </w:style>
  <w:style w:type="paragraph" w:customStyle="1" w:styleId="TableSubheading">
    <w:name w:val="*Table Subheading"/>
    <w:uiPriority w:val="2"/>
    <w:qFormat/>
    <w:rsid w:val="003C5B75"/>
    <w:pPr>
      <w:spacing w:after="0" w:line="240" w:lineRule="auto"/>
    </w:pPr>
    <w:rPr>
      <w:rFonts w:ascii="Arial Bold" w:eastAsia="Times New Roman" w:hAnsi="Arial Bold" w:cs="Times New Roman"/>
      <w:b/>
      <w:caps/>
      <w:color w:val="7C848A"/>
      <w:spacing w:val="60"/>
      <w:sz w:val="18"/>
      <w:szCs w:val="20"/>
      <w:lang w:val="en-US"/>
    </w:rPr>
  </w:style>
  <w:style w:type="paragraph" w:customStyle="1" w:styleId="TableTextBold">
    <w:name w:val="*Table Text Bold"/>
    <w:basedOn w:val="TableText0"/>
    <w:uiPriority w:val="2"/>
    <w:rsid w:val="003C5B75"/>
    <w:rPr>
      <w:b/>
    </w:rPr>
  </w:style>
  <w:style w:type="paragraph" w:customStyle="1" w:styleId="IntroText">
    <w:name w:val="*Intro Text"/>
    <w:uiPriority w:val="1"/>
    <w:qFormat/>
    <w:rsid w:val="003C5B75"/>
    <w:pPr>
      <w:spacing w:before="120" w:after="240" w:line="240" w:lineRule="auto"/>
    </w:pPr>
    <w:rPr>
      <w:rFonts w:ascii="Arial" w:eastAsia="Times New Roman" w:hAnsi="Arial" w:cs="Times New Roman"/>
      <w:color w:val="7C848A"/>
      <w:sz w:val="24"/>
      <w:szCs w:val="20"/>
      <w:lang w:val="en-US"/>
    </w:rPr>
  </w:style>
  <w:style w:type="paragraph" w:customStyle="1" w:styleId="AppendixSectionTitle">
    <w:name w:val="*Appendix Section Title"/>
    <w:uiPriority w:val="3"/>
    <w:qFormat/>
    <w:rsid w:val="003C5B75"/>
    <w:pPr>
      <w:spacing w:after="360" w:line="240" w:lineRule="auto"/>
    </w:pPr>
    <w:rPr>
      <w:rFonts w:ascii="Arial" w:eastAsia="Times New Roman" w:hAnsi="Arial" w:cs="Times New Roman"/>
      <w:b/>
      <w:caps/>
      <w:color w:val="FFFFFF" w:themeColor="background1"/>
      <w:spacing w:val="40"/>
      <w:sz w:val="44"/>
      <w:szCs w:val="44"/>
      <w:lang w:val="en-US"/>
    </w:rPr>
  </w:style>
  <w:style w:type="paragraph" w:customStyle="1" w:styleId="BackcoverCompanyName">
    <w:name w:val="*Backcover Company Name"/>
    <w:uiPriority w:val="3"/>
    <w:qFormat/>
    <w:rsid w:val="003C5B75"/>
    <w:pPr>
      <w:spacing w:after="0" w:line="240" w:lineRule="auto"/>
    </w:pPr>
    <w:rPr>
      <w:rFonts w:ascii="Arial" w:eastAsia="Times New Roman" w:hAnsi="Arial" w:cs="Arial"/>
      <w:b/>
      <w:caps/>
      <w:color w:val="808080"/>
      <w:spacing w:val="40"/>
      <w:sz w:val="24"/>
      <w:szCs w:val="24"/>
      <w:lang w:val="en-US"/>
    </w:rPr>
  </w:style>
  <w:style w:type="paragraph" w:customStyle="1" w:styleId="Address">
    <w:name w:val="*Address"/>
    <w:uiPriority w:val="3"/>
    <w:qFormat/>
    <w:rsid w:val="003C5B75"/>
    <w:pPr>
      <w:spacing w:after="0" w:line="240" w:lineRule="auto"/>
    </w:pPr>
    <w:rPr>
      <w:rFonts w:ascii="Arial" w:eastAsia="Times New Roman" w:hAnsi="Arial" w:cs="Arial"/>
      <w:color w:val="808080"/>
      <w:spacing w:val="5"/>
      <w:szCs w:val="24"/>
      <w:lang w:val="en-US"/>
    </w:rPr>
  </w:style>
  <w:style w:type="paragraph" w:customStyle="1" w:styleId="LegalText">
    <w:name w:val="*Legal Text"/>
    <w:uiPriority w:val="3"/>
    <w:qFormat/>
    <w:rsid w:val="003C5B75"/>
    <w:pPr>
      <w:spacing w:after="0" w:line="240" w:lineRule="auto"/>
    </w:pPr>
    <w:rPr>
      <w:rFonts w:ascii="Arial" w:eastAsia="Times New Roman" w:hAnsi="Arial" w:cs="Arial"/>
      <w:color w:val="808080"/>
      <w:sz w:val="18"/>
      <w:szCs w:val="24"/>
      <w:lang w:val="en-US"/>
    </w:rPr>
  </w:style>
  <w:style w:type="paragraph" w:customStyle="1" w:styleId="FooterPageNumber">
    <w:name w:val="*Footer Page Number"/>
    <w:basedOn w:val="Footer0"/>
    <w:uiPriority w:val="3"/>
    <w:qFormat/>
    <w:rsid w:val="003C5B75"/>
    <w:pPr>
      <w:jc w:val="right"/>
    </w:pPr>
    <w:rPr>
      <w:noProof/>
    </w:rPr>
  </w:style>
  <w:style w:type="paragraph" w:customStyle="1" w:styleId="Numbered1">
    <w:name w:val="*Numbered 1"/>
    <w:basedOn w:val="Bullet1"/>
    <w:uiPriority w:val="3"/>
    <w:qFormat/>
    <w:rsid w:val="003C5B75"/>
    <w:pPr>
      <w:numPr>
        <w:numId w:val="45"/>
      </w:numPr>
    </w:pPr>
  </w:style>
  <w:style w:type="paragraph" w:customStyle="1" w:styleId="Numbered2">
    <w:name w:val="*Numbered 2"/>
    <w:basedOn w:val="Bullet2"/>
    <w:uiPriority w:val="3"/>
    <w:qFormat/>
    <w:rsid w:val="003C5B75"/>
    <w:pPr>
      <w:numPr>
        <w:numId w:val="46"/>
      </w:numPr>
    </w:pPr>
  </w:style>
  <w:style w:type="paragraph" w:customStyle="1" w:styleId="Numbered3">
    <w:name w:val="*Numbered 3"/>
    <w:basedOn w:val="Bullet3"/>
    <w:uiPriority w:val="3"/>
    <w:qFormat/>
    <w:rsid w:val="003C5B75"/>
    <w:pPr>
      <w:numPr>
        <w:numId w:val="47"/>
      </w:numPr>
    </w:pPr>
  </w:style>
  <w:style w:type="paragraph" w:customStyle="1" w:styleId="SectionNumber0">
    <w:name w:val="Section Number"/>
    <w:next w:val="SectionTitle"/>
    <w:link w:val="SectionNumberChar"/>
    <w:rsid w:val="003C5B75"/>
    <w:pPr>
      <w:spacing w:after="0" w:line="240" w:lineRule="auto"/>
    </w:pPr>
    <w:rPr>
      <w:rFonts w:ascii="Arial Bold" w:hAnsi="Arial Bold" w:cs="Arial"/>
      <w:b/>
      <w:caps/>
      <w:color w:val="5B9BD5" w:themeColor="accent1"/>
      <w:spacing w:val="40"/>
      <w:sz w:val="72"/>
      <w:szCs w:val="72"/>
    </w:rPr>
  </w:style>
  <w:style w:type="paragraph" w:customStyle="1" w:styleId="SectionTitle">
    <w:name w:val="Section Title"/>
    <w:next w:val="Normal"/>
    <w:link w:val="SectionTitleChar"/>
    <w:rsid w:val="003C5B75"/>
    <w:pPr>
      <w:spacing w:after="360" w:line="240" w:lineRule="auto"/>
    </w:pPr>
    <w:rPr>
      <w:rFonts w:ascii="Arial" w:hAnsi="Arial" w:cs="Arial"/>
      <w:caps/>
      <w:color w:val="ED7D31" w:themeColor="accent2"/>
      <w:spacing w:val="40"/>
      <w:sz w:val="36"/>
      <w:szCs w:val="36"/>
    </w:rPr>
  </w:style>
  <w:style w:type="character" w:customStyle="1" w:styleId="SectionNumberChar">
    <w:name w:val="Section Number Char"/>
    <w:basedOn w:val="DefaultParagraphFont"/>
    <w:link w:val="SectionNumber0"/>
    <w:rsid w:val="003C5B75"/>
    <w:rPr>
      <w:rFonts w:ascii="Arial Bold" w:hAnsi="Arial Bold" w:cs="Arial"/>
      <w:b/>
      <w:caps/>
      <w:color w:val="5B9BD5" w:themeColor="accent1"/>
      <w:spacing w:val="40"/>
      <w:sz w:val="72"/>
      <w:szCs w:val="72"/>
    </w:rPr>
  </w:style>
  <w:style w:type="character" w:customStyle="1" w:styleId="SectionTitleChar">
    <w:name w:val="Section Title Char"/>
    <w:basedOn w:val="DefaultParagraphFont"/>
    <w:link w:val="SectionTitle"/>
    <w:rsid w:val="003C5B75"/>
    <w:rPr>
      <w:rFonts w:ascii="Arial" w:hAnsi="Arial" w:cs="Arial"/>
      <w:caps/>
      <w:color w:val="ED7D31" w:themeColor="accent2"/>
      <w:spacing w:val="40"/>
      <w:sz w:val="36"/>
      <w:szCs w:val="36"/>
    </w:rPr>
  </w:style>
  <w:style w:type="paragraph" w:customStyle="1" w:styleId="ReporttitleHeader">
    <w:name w:val="Report title Header"/>
    <w:link w:val="ReporttitleHeaderChar"/>
    <w:qFormat/>
    <w:rsid w:val="003C5B75"/>
    <w:pPr>
      <w:spacing w:after="0" w:line="240" w:lineRule="auto"/>
    </w:pPr>
    <w:rPr>
      <w:rFonts w:ascii="Arial" w:hAnsi="Arial" w:cs="Arial"/>
      <w:b/>
      <w:caps/>
      <w:color w:val="4472C4" w:themeColor="accent5"/>
      <w:spacing w:val="40"/>
      <w:sz w:val="16"/>
      <w:szCs w:val="36"/>
    </w:rPr>
  </w:style>
  <w:style w:type="paragraph" w:customStyle="1" w:styleId="ClientNameHeaderandfooter">
    <w:name w:val="Client Name Header and footer"/>
    <w:link w:val="ClientNameHeaderandfooterChar"/>
    <w:qFormat/>
    <w:rsid w:val="003C5B75"/>
    <w:pPr>
      <w:spacing w:after="0" w:line="240" w:lineRule="auto"/>
    </w:pPr>
    <w:rPr>
      <w:rFonts w:ascii="Arial" w:hAnsi="Arial" w:cs="Arial"/>
      <w:caps/>
      <w:color w:val="4472C4" w:themeColor="accent5"/>
      <w:spacing w:val="40"/>
      <w:sz w:val="16"/>
      <w:szCs w:val="36"/>
    </w:rPr>
  </w:style>
  <w:style w:type="character" w:customStyle="1" w:styleId="ReporttitleHeaderChar">
    <w:name w:val="Report title Header Char"/>
    <w:basedOn w:val="DefaultParagraphFont"/>
    <w:link w:val="ReporttitleHeader"/>
    <w:rsid w:val="003C5B75"/>
    <w:rPr>
      <w:rFonts w:ascii="Arial" w:hAnsi="Arial" w:cs="Arial"/>
      <w:b/>
      <w:caps/>
      <w:color w:val="4472C4" w:themeColor="accent5"/>
      <w:spacing w:val="40"/>
      <w:sz w:val="16"/>
      <w:szCs w:val="36"/>
    </w:rPr>
  </w:style>
  <w:style w:type="character" w:customStyle="1" w:styleId="ClientNameHeaderandfooterChar">
    <w:name w:val="Client Name Header and footer Char"/>
    <w:basedOn w:val="DefaultParagraphFont"/>
    <w:link w:val="ClientNameHeaderandfooter"/>
    <w:rsid w:val="003C5B75"/>
    <w:rPr>
      <w:rFonts w:ascii="Arial" w:hAnsi="Arial" w:cs="Arial"/>
      <w:caps/>
      <w:color w:val="4472C4" w:themeColor="accent5"/>
      <w:spacing w:val="40"/>
      <w:sz w:val="16"/>
      <w:szCs w:val="36"/>
    </w:rPr>
  </w:style>
  <w:style w:type="paragraph" w:customStyle="1" w:styleId="Question2">
    <w:name w:val="Question 2"/>
    <w:next w:val="Normal"/>
    <w:link w:val="Question2Char"/>
    <w:rsid w:val="003C5B75"/>
    <w:pPr>
      <w:spacing w:before="120" w:after="120" w:line="300" w:lineRule="exact"/>
    </w:pPr>
    <w:rPr>
      <w:rFonts w:ascii="Times New Roman" w:hAnsi="Times New Roman" w:cs="Times New Roman"/>
      <w:b/>
      <w:i/>
      <w:color w:val="ED7D31" w:themeColor="accent2"/>
      <w:sz w:val="20"/>
      <w:szCs w:val="20"/>
      <w:lang w:val="en-US"/>
    </w:rPr>
  </w:style>
  <w:style w:type="character" w:customStyle="1" w:styleId="Question2Char">
    <w:name w:val="Question 2 Char"/>
    <w:basedOn w:val="DefaultParagraphFont"/>
    <w:link w:val="Question2"/>
    <w:rsid w:val="003C5B75"/>
    <w:rPr>
      <w:rFonts w:ascii="Times New Roman" w:hAnsi="Times New Roman" w:cs="Times New Roman"/>
      <w:b/>
      <w:i/>
      <w:color w:val="ED7D31" w:themeColor="accent2"/>
      <w:sz w:val="20"/>
      <w:szCs w:val="20"/>
      <w:lang w:val="en-US"/>
    </w:rPr>
  </w:style>
  <w:style w:type="paragraph" w:customStyle="1" w:styleId="BulletsLevel1">
    <w:name w:val="Bullets Level 1"/>
    <w:rsid w:val="003C5B75"/>
    <w:pPr>
      <w:numPr>
        <w:numId w:val="40"/>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Address0">
    <w:name w:val="Address"/>
    <w:basedOn w:val="Normal"/>
    <w:link w:val="AddressChar"/>
    <w:qFormat/>
    <w:rsid w:val="003C5B75"/>
    <w:pPr>
      <w:autoSpaceDE/>
      <w:autoSpaceDN/>
      <w:adjustRightInd/>
      <w:spacing w:after="0"/>
      <w:jc w:val="left"/>
    </w:pPr>
    <w:rPr>
      <w:rFonts w:eastAsia="Times New Roman" w:cs="Arial"/>
      <w:color w:val="808080"/>
      <w:spacing w:val="5"/>
      <w:sz w:val="22"/>
      <w:szCs w:val="20"/>
      <w:lang w:val="en-US"/>
    </w:rPr>
  </w:style>
  <w:style w:type="character" w:customStyle="1" w:styleId="AddressChar">
    <w:name w:val="Address Char"/>
    <w:basedOn w:val="DefaultParagraphFont"/>
    <w:link w:val="Address0"/>
    <w:rsid w:val="003C5B75"/>
    <w:rPr>
      <w:rFonts w:ascii="Arial" w:eastAsia="Times New Roman" w:hAnsi="Arial" w:cs="Arial"/>
      <w:color w:val="808080"/>
      <w:spacing w:val="5"/>
      <w:szCs w:val="20"/>
      <w:lang w:val="en-US"/>
    </w:rPr>
  </w:style>
  <w:style w:type="paragraph" w:customStyle="1" w:styleId="TableLogoText">
    <w:name w:val="Table Logo Text"/>
    <w:basedOn w:val="Normal"/>
    <w:link w:val="TableLogoTextChar"/>
    <w:rsid w:val="003C5B75"/>
    <w:pPr>
      <w:autoSpaceDE/>
      <w:autoSpaceDN/>
      <w:adjustRightInd/>
      <w:spacing w:after="0"/>
      <w:jc w:val="left"/>
    </w:pPr>
    <w:rPr>
      <w:rFonts w:eastAsia="Times New Roman" w:cs="Arial"/>
      <w:color w:val="auto"/>
      <w:szCs w:val="20"/>
      <w:lang w:val="en-US"/>
    </w:rPr>
  </w:style>
  <w:style w:type="paragraph" w:customStyle="1" w:styleId="AddressBlock">
    <w:name w:val="Address Block"/>
    <w:basedOn w:val="Normal"/>
    <w:link w:val="AddressBlockChar"/>
    <w:rsid w:val="003C5B75"/>
    <w:pPr>
      <w:autoSpaceDE/>
      <w:autoSpaceDN/>
      <w:adjustRightInd/>
      <w:spacing w:after="0" w:line="180" w:lineRule="atLeast"/>
      <w:jc w:val="left"/>
    </w:pPr>
    <w:rPr>
      <w:rFonts w:eastAsia="Times New Roman" w:cs="Arial"/>
      <w:color w:val="auto"/>
      <w:sz w:val="16"/>
      <w:szCs w:val="20"/>
      <w:lang w:val="en-US"/>
    </w:rPr>
  </w:style>
  <w:style w:type="paragraph" w:customStyle="1" w:styleId="Legaltext0">
    <w:name w:val="Legal text"/>
    <w:basedOn w:val="AddressBlock"/>
    <w:link w:val="LegaltextChar"/>
    <w:qFormat/>
    <w:rsid w:val="003C5B75"/>
    <w:rPr>
      <w:color w:val="808080"/>
      <w:sz w:val="18"/>
    </w:rPr>
  </w:style>
  <w:style w:type="character" w:customStyle="1" w:styleId="AddressBlockChar">
    <w:name w:val="Address Block Char"/>
    <w:basedOn w:val="DefaultParagraphFont"/>
    <w:link w:val="AddressBlock"/>
    <w:rsid w:val="003C5B75"/>
    <w:rPr>
      <w:rFonts w:ascii="Arial" w:eastAsia="Times New Roman" w:hAnsi="Arial" w:cs="Arial"/>
      <w:sz w:val="16"/>
      <w:szCs w:val="20"/>
      <w:lang w:val="en-US"/>
    </w:rPr>
  </w:style>
  <w:style w:type="character" w:customStyle="1" w:styleId="LegaltextChar">
    <w:name w:val="Legal text Char"/>
    <w:basedOn w:val="AddressBlockChar"/>
    <w:link w:val="Legaltext0"/>
    <w:rsid w:val="003C5B75"/>
    <w:rPr>
      <w:rFonts w:ascii="Arial" w:eastAsia="Times New Roman" w:hAnsi="Arial" w:cs="Arial"/>
      <w:color w:val="808080"/>
      <w:sz w:val="18"/>
      <w:szCs w:val="20"/>
      <w:lang w:val="en-US"/>
    </w:rPr>
  </w:style>
  <w:style w:type="paragraph" w:customStyle="1" w:styleId="Backcovercompanyname0">
    <w:name w:val="Backcover company name"/>
    <w:basedOn w:val="TableLogoText"/>
    <w:link w:val="BackcovercompanynameChar"/>
    <w:qFormat/>
    <w:rsid w:val="003C5B75"/>
    <w:rPr>
      <w:rFonts w:ascii="Arial Bold" w:hAnsi="Arial Bold"/>
      <w:b/>
      <w:color w:val="808080"/>
      <w:spacing w:val="40"/>
    </w:rPr>
  </w:style>
  <w:style w:type="character" w:customStyle="1" w:styleId="TableLogoTextChar">
    <w:name w:val="Table Logo Text Char"/>
    <w:basedOn w:val="DefaultParagraphFont"/>
    <w:link w:val="TableLogoText"/>
    <w:rsid w:val="003C5B75"/>
    <w:rPr>
      <w:rFonts w:ascii="Arial" w:eastAsia="Times New Roman" w:hAnsi="Arial" w:cs="Arial"/>
      <w:sz w:val="24"/>
      <w:szCs w:val="20"/>
      <w:lang w:val="en-US"/>
    </w:rPr>
  </w:style>
  <w:style w:type="character" w:customStyle="1" w:styleId="BackcovercompanynameChar">
    <w:name w:val="Backcover company name Char"/>
    <w:basedOn w:val="TableLogoTextChar"/>
    <w:link w:val="Backcovercompanyname0"/>
    <w:rsid w:val="003C5B75"/>
    <w:rPr>
      <w:rFonts w:ascii="Arial Bold" w:eastAsia="Times New Roman" w:hAnsi="Arial Bold" w:cs="Arial"/>
      <w:b/>
      <w:color w:val="808080"/>
      <w:spacing w:val="40"/>
      <w:sz w:val="24"/>
      <w:szCs w:val="20"/>
      <w:lang w:val="en-US"/>
    </w:rPr>
  </w:style>
  <w:style w:type="paragraph" w:customStyle="1" w:styleId="Filestamp">
    <w:name w:val="Filestamp"/>
    <w:basedOn w:val="Normal"/>
    <w:rsid w:val="003C5B75"/>
    <w:pPr>
      <w:autoSpaceDE/>
      <w:autoSpaceDN/>
      <w:adjustRightInd/>
      <w:spacing w:after="0" w:line="120" w:lineRule="atLeast"/>
      <w:jc w:val="left"/>
    </w:pPr>
    <w:rPr>
      <w:rFonts w:eastAsia="Times New Roman" w:cs="Arial"/>
      <w:noProof/>
      <w:color w:val="auto"/>
      <w:sz w:val="12"/>
      <w:szCs w:val="20"/>
      <w:lang w:val="en-US"/>
    </w:rPr>
  </w:style>
  <w:style w:type="paragraph" w:customStyle="1" w:styleId="LetterDate">
    <w:name w:val="Letter Date"/>
    <w:basedOn w:val="Normal"/>
    <w:next w:val="Normal"/>
    <w:rsid w:val="003C5B75"/>
    <w:pPr>
      <w:autoSpaceDE/>
      <w:autoSpaceDN/>
      <w:adjustRightInd/>
      <w:spacing w:after="680" w:line="360" w:lineRule="atLeast"/>
      <w:jc w:val="left"/>
    </w:pPr>
    <w:rPr>
      <w:rFonts w:eastAsia="Times New Roman" w:cs="Arial"/>
      <w:caps/>
      <w:color w:val="auto"/>
      <w:sz w:val="28"/>
      <w:szCs w:val="20"/>
      <w:lang w:val="en-US"/>
    </w:rPr>
  </w:style>
  <w:style w:type="paragraph" w:customStyle="1" w:styleId="ReportTitle0">
    <w:name w:val="Report Title"/>
    <w:basedOn w:val="Normal"/>
    <w:next w:val="Normal"/>
    <w:rsid w:val="003C5B75"/>
    <w:pPr>
      <w:autoSpaceDE/>
      <w:autoSpaceDN/>
      <w:adjustRightInd/>
      <w:spacing w:before="300" w:after="0" w:line="440" w:lineRule="atLeast"/>
      <w:jc w:val="left"/>
    </w:pPr>
    <w:rPr>
      <w:rFonts w:eastAsia="Times New Roman" w:cs="Arial"/>
      <w:b/>
      <w:caps/>
      <w:color w:val="auto"/>
      <w:sz w:val="44"/>
      <w:szCs w:val="20"/>
      <w:lang w:val="en-US"/>
    </w:rPr>
  </w:style>
  <w:style w:type="paragraph" w:customStyle="1" w:styleId="ClientName">
    <w:name w:val="Client Name"/>
    <w:basedOn w:val="Normal"/>
    <w:rsid w:val="003C5B75"/>
    <w:pPr>
      <w:autoSpaceDE/>
      <w:autoSpaceDN/>
      <w:adjustRightInd/>
      <w:spacing w:after="0" w:line="440" w:lineRule="atLeast"/>
      <w:jc w:val="left"/>
    </w:pPr>
    <w:rPr>
      <w:rFonts w:eastAsia="Times New Roman" w:cs="Arial"/>
      <w:caps/>
      <w:color w:val="auto"/>
      <w:sz w:val="44"/>
      <w:szCs w:val="20"/>
      <w:lang w:val="en-US"/>
    </w:rPr>
  </w:style>
  <w:style w:type="paragraph" w:customStyle="1" w:styleId="ReportCrossRef">
    <w:name w:val="Report Cross Ref"/>
    <w:basedOn w:val="Normal"/>
    <w:rsid w:val="003C5B75"/>
    <w:pPr>
      <w:autoSpaceDE/>
      <w:autoSpaceDN/>
      <w:adjustRightInd/>
      <w:spacing w:after="0" w:line="200" w:lineRule="atLeast"/>
      <w:jc w:val="left"/>
    </w:pPr>
    <w:rPr>
      <w:rFonts w:eastAsia="Times New Roman" w:cs="Arial"/>
      <w:b/>
      <w:caps/>
      <w:color w:val="auto"/>
      <w:sz w:val="16"/>
      <w:szCs w:val="20"/>
      <w:lang w:val="en-US"/>
    </w:rPr>
  </w:style>
  <w:style w:type="paragraph" w:customStyle="1" w:styleId="ClientNameCrossRef">
    <w:name w:val="Client Name Cross Ref"/>
    <w:basedOn w:val="Normal"/>
    <w:rsid w:val="003C5B75"/>
    <w:pPr>
      <w:autoSpaceDE/>
      <w:autoSpaceDN/>
      <w:adjustRightInd/>
      <w:spacing w:after="0" w:line="200" w:lineRule="atLeast"/>
      <w:jc w:val="left"/>
    </w:pPr>
    <w:rPr>
      <w:rFonts w:eastAsia="Times New Roman" w:cs="Arial"/>
      <w:caps/>
      <w:color w:val="auto"/>
      <w:sz w:val="16"/>
      <w:szCs w:val="20"/>
      <w:lang w:val="en-US"/>
    </w:rPr>
  </w:style>
  <w:style w:type="paragraph" w:customStyle="1" w:styleId="AppendixStart">
    <w:name w:val="Appendix Start"/>
    <w:next w:val="Normal"/>
    <w:rsid w:val="003C5B75"/>
    <w:pPr>
      <w:spacing w:after="600" w:line="240" w:lineRule="auto"/>
    </w:pPr>
    <w:rPr>
      <w:rFonts w:ascii="Times New Roman" w:eastAsia="Times New Roman" w:hAnsi="Times New Roman" w:cs="Arial"/>
      <w:caps/>
      <w:color w:val="FFFFFF" w:themeColor="background1"/>
      <w:sz w:val="36"/>
      <w:szCs w:val="20"/>
      <w:lang w:val="en-US"/>
    </w:rPr>
  </w:style>
  <w:style w:type="paragraph" w:customStyle="1" w:styleId="SectionStart">
    <w:name w:val="Section Start"/>
    <w:next w:val="Normal"/>
    <w:rsid w:val="003C5B75"/>
    <w:pPr>
      <w:spacing w:before="120" w:after="500" w:line="240" w:lineRule="auto"/>
    </w:pPr>
    <w:rPr>
      <w:rFonts w:ascii="Times New Roman" w:eastAsia="Times New Roman" w:hAnsi="Times New Roman" w:cs="Arial"/>
      <w:caps/>
      <w:color w:val="FFFFFF" w:themeColor="background1"/>
      <w:spacing w:val="100"/>
      <w:sz w:val="36"/>
      <w:szCs w:val="20"/>
      <w:lang w:val="en-US"/>
    </w:rPr>
  </w:style>
  <w:style w:type="paragraph" w:customStyle="1" w:styleId="Logo">
    <w:name w:val="Logo"/>
    <w:basedOn w:val="Normal"/>
    <w:link w:val="LogoChar"/>
    <w:rsid w:val="003C5B75"/>
    <w:pPr>
      <w:autoSpaceDE/>
      <w:autoSpaceDN/>
      <w:adjustRightInd/>
      <w:spacing w:after="0" w:line="560" w:lineRule="exact"/>
      <w:jc w:val="center"/>
    </w:pPr>
    <w:rPr>
      <w:rFonts w:eastAsia="Times New Roman" w:cs="Arial"/>
      <w:color w:val="auto"/>
      <w:sz w:val="16"/>
      <w:szCs w:val="16"/>
      <w:lang w:val="en-US"/>
    </w:rPr>
  </w:style>
  <w:style w:type="paragraph" w:customStyle="1" w:styleId="CompanyName">
    <w:name w:val="Company Name"/>
    <w:basedOn w:val="ClientNameCrossRef"/>
    <w:rsid w:val="003C5B75"/>
    <w:rPr>
      <w:caps w:val="0"/>
    </w:rPr>
  </w:style>
  <w:style w:type="character" w:customStyle="1" w:styleId="LogoChar">
    <w:name w:val="Logo Char"/>
    <w:link w:val="Logo"/>
    <w:rsid w:val="003C5B75"/>
    <w:rPr>
      <w:rFonts w:ascii="Arial" w:eastAsia="Times New Roman" w:hAnsi="Arial" w:cs="Arial"/>
      <w:sz w:val="16"/>
      <w:szCs w:val="16"/>
      <w:lang w:val="en-US"/>
    </w:rPr>
  </w:style>
  <w:style w:type="paragraph" w:styleId="ListBullet">
    <w:name w:val="List Bullet"/>
    <w:basedOn w:val="Normal"/>
    <w:rsid w:val="003C5B75"/>
    <w:pPr>
      <w:numPr>
        <w:ilvl w:val="4"/>
        <w:numId w:val="38"/>
      </w:numPr>
      <w:autoSpaceDE/>
      <w:autoSpaceDN/>
      <w:adjustRightInd/>
      <w:spacing w:after="0" w:line="260" w:lineRule="atLeast"/>
      <w:contextualSpacing/>
      <w:jc w:val="left"/>
      <w:outlineLvl w:val="4"/>
    </w:pPr>
    <w:rPr>
      <w:rFonts w:eastAsia="Times New Roman" w:cs="Arial"/>
      <w:color w:val="auto"/>
      <w:sz w:val="22"/>
      <w:szCs w:val="20"/>
      <w:lang w:val="en-US"/>
    </w:rPr>
  </w:style>
  <w:style w:type="paragraph" w:styleId="ListBullet2">
    <w:name w:val="List Bullet 2"/>
    <w:basedOn w:val="Normal"/>
    <w:rsid w:val="003C5B75"/>
    <w:pPr>
      <w:numPr>
        <w:ilvl w:val="5"/>
        <w:numId w:val="38"/>
      </w:numPr>
      <w:autoSpaceDE/>
      <w:autoSpaceDN/>
      <w:adjustRightInd/>
      <w:spacing w:after="0" w:line="260" w:lineRule="atLeast"/>
      <w:contextualSpacing/>
      <w:jc w:val="left"/>
      <w:outlineLvl w:val="5"/>
    </w:pPr>
    <w:rPr>
      <w:rFonts w:eastAsia="Times New Roman" w:cs="Arial"/>
      <w:color w:val="auto"/>
      <w:sz w:val="22"/>
      <w:szCs w:val="20"/>
      <w:lang w:val="en-US"/>
    </w:rPr>
  </w:style>
  <w:style w:type="paragraph" w:styleId="ListBullet3">
    <w:name w:val="List Bullet 3"/>
    <w:basedOn w:val="Normal"/>
    <w:rsid w:val="003C5B75"/>
    <w:pPr>
      <w:numPr>
        <w:ilvl w:val="6"/>
        <w:numId w:val="38"/>
      </w:numPr>
      <w:autoSpaceDE/>
      <w:autoSpaceDN/>
      <w:adjustRightInd/>
      <w:spacing w:after="0" w:line="260" w:lineRule="atLeast"/>
      <w:contextualSpacing/>
      <w:jc w:val="left"/>
      <w:outlineLvl w:val="6"/>
    </w:pPr>
    <w:rPr>
      <w:rFonts w:eastAsia="Times New Roman" w:cs="Arial"/>
      <w:color w:val="auto"/>
      <w:sz w:val="22"/>
      <w:szCs w:val="20"/>
      <w:lang w:val="en-US"/>
    </w:rPr>
  </w:style>
  <w:style w:type="paragraph" w:styleId="ListBullet4">
    <w:name w:val="List Bullet 4"/>
    <w:basedOn w:val="Normal"/>
    <w:rsid w:val="003C5B75"/>
    <w:pPr>
      <w:numPr>
        <w:ilvl w:val="7"/>
        <w:numId w:val="38"/>
      </w:numPr>
      <w:autoSpaceDE/>
      <w:autoSpaceDN/>
      <w:adjustRightInd/>
      <w:spacing w:after="0" w:line="260" w:lineRule="atLeast"/>
      <w:contextualSpacing/>
      <w:jc w:val="left"/>
      <w:outlineLvl w:val="7"/>
    </w:pPr>
    <w:rPr>
      <w:rFonts w:eastAsia="Times New Roman" w:cs="Arial"/>
      <w:color w:val="auto"/>
      <w:sz w:val="22"/>
      <w:szCs w:val="20"/>
      <w:lang w:val="en-US"/>
    </w:rPr>
  </w:style>
  <w:style w:type="paragraph" w:customStyle="1" w:styleId="TableBullet1">
    <w:name w:val="Table Bullet 1"/>
    <w:basedOn w:val="Normal"/>
    <w:link w:val="TableBullet1Char"/>
    <w:rsid w:val="003C5B75"/>
    <w:pPr>
      <w:numPr>
        <w:ilvl w:val="4"/>
        <w:numId w:val="39"/>
      </w:numPr>
      <w:autoSpaceDE/>
      <w:autoSpaceDN/>
      <w:adjustRightInd/>
      <w:spacing w:before="40" w:after="40"/>
      <w:jc w:val="left"/>
      <w:outlineLvl w:val="4"/>
    </w:pPr>
    <w:rPr>
      <w:rFonts w:eastAsia="Times New Roman" w:cs="Arial"/>
      <w:color w:val="auto"/>
      <w:sz w:val="16"/>
      <w:szCs w:val="16"/>
      <w:lang w:val="en-US"/>
    </w:rPr>
  </w:style>
  <w:style w:type="character" w:customStyle="1" w:styleId="TableBullet1Char">
    <w:name w:val="Table Bullet 1 Char"/>
    <w:basedOn w:val="LogoChar"/>
    <w:link w:val="TableBullet1"/>
    <w:rsid w:val="003C5B75"/>
    <w:rPr>
      <w:rFonts w:ascii="Arial" w:eastAsia="Times New Roman" w:hAnsi="Arial" w:cs="Arial"/>
      <w:sz w:val="16"/>
      <w:szCs w:val="16"/>
      <w:lang w:val="en-US"/>
    </w:rPr>
  </w:style>
  <w:style w:type="paragraph" w:customStyle="1" w:styleId="TableBullet2">
    <w:name w:val="Table Bullet 2"/>
    <w:basedOn w:val="Normal"/>
    <w:rsid w:val="003C5B75"/>
    <w:pPr>
      <w:numPr>
        <w:ilvl w:val="5"/>
        <w:numId w:val="39"/>
      </w:numPr>
      <w:autoSpaceDE/>
      <w:autoSpaceDN/>
      <w:adjustRightInd/>
      <w:spacing w:before="40" w:after="40"/>
      <w:jc w:val="left"/>
      <w:outlineLvl w:val="5"/>
    </w:pPr>
    <w:rPr>
      <w:rFonts w:eastAsia="Times New Roman" w:cs="Arial"/>
      <w:color w:val="auto"/>
      <w:sz w:val="16"/>
      <w:szCs w:val="16"/>
      <w:lang w:val="en-US"/>
    </w:rPr>
  </w:style>
  <w:style w:type="paragraph" w:customStyle="1" w:styleId="TableBullet3">
    <w:name w:val="Table Bullet 3"/>
    <w:basedOn w:val="Normal"/>
    <w:rsid w:val="003C5B75"/>
    <w:pPr>
      <w:numPr>
        <w:ilvl w:val="6"/>
        <w:numId w:val="39"/>
      </w:numPr>
      <w:autoSpaceDE/>
      <w:autoSpaceDN/>
      <w:adjustRightInd/>
      <w:spacing w:before="40" w:after="40"/>
      <w:jc w:val="left"/>
      <w:outlineLvl w:val="6"/>
    </w:pPr>
    <w:rPr>
      <w:rFonts w:eastAsia="Times New Roman" w:cs="Arial"/>
      <w:color w:val="auto"/>
      <w:sz w:val="16"/>
      <w:szCs w:val="16"/>
      <w:lang w:val="en-US"/>
    </w:rPr>
  </w:style>
  <w:style w:type="paragraph" w:customStyle="1" w:styleId="TableBullet4">
    <w:name w:val="Table Bullet 4"/>
    <w:basedOn w:val="Normal"/>
    <w:rsid w:val="003C5B75"/>
    <w:pPr>
      <w:numPr>
        <w:ilvl w:val="7"/>
        <w:numId w:val="39"/>
      </w:numPr>
      <w:autoSpaceDE/>
      <w:autoSpaceDN/>
      <w:adjustRightInd/>
      <w:spacing w:before="40" w:after="40"/>
      <w:jc w:val="left"/>
      <w:outlineLvl w:val="7"/>
    </w:pPr>
    <w:rPr>
      <w:rFonts w:eastAsia="Times New Roman" w:cs="Arial"/>
      <w:color w:val="auto"/>
      <w:sz w:val="16"/>
      <w:szCs w:val="16"/>
      <w:lang w:val="en-US"/>
    </w:rPr>
  </w:style>
  <w:style w:type="paragraph" w:customStyle="1" w:styleId="AppendixNum">
    <w:name w:val="Appendix Num"/>
    <w:basedOn w:val="Normal"/>
    <w:rsid w:val="003C5B75"/>
    <w:pPr>
      <w:tabs>
        <w:tab w:val="num" w:pos="720"/>
      </w:tabs>
      <w:autoSpaceDE/>
      <w:autoSpaceDN/>
      <w:adjustRightInd/>
      <w:spacing w:after="240"/>
      <w:ind w:left="720" w:hanging="720"/>
      <w:jc w:val="left"/>
      <w:outlineLvl w:val="1"/>
    </w:pPr>
    <w:rPr>
      <w:rFonts w:eastAsia="Times New Roman" w:cs="Times New Roman"/>
      <w:color w:val="auto"/>
      <w:sz w:val="22"/>
      <w:szCs w:val="20"/>
      <w:lang w:eastAsia="en-GB"/>
    </w:rPr>
  </w:style>
  <w:style w:type="paragraph" w:customStyle="1" w:styleId="NormalSingle">
    <w:name w:val="Normal Single"/>
    <w:basedOn w:val="Normal"/>
    <w:link w:val="NormalSingleChar"/>
    <w:rsid w:val="003C5B75"/>
    <w:pPr>
      <w:autoSpaceDE/>
      <w:autoSpaceDN/>
      <w:adjustRightInd/>
      <w:spacing w:after="0"/>
      <w:jc w:val="left"/>
    </w:pPr>
    <w:rPr>
      <w:rFonts w:eastAsia="Times New Roman" w:cs="Times New Roman"/>
      <w:color w:val="auto"/>
      <w:sz w:val="22"/>
      <w:szCs w:val="20"/>
      <w:lang w:eastAsia="en-GB"/>
    </w:rPr>
  </w:style>
  <w:style w:type="character" w:customStyle="1" w:styleId="NormalSingleChar">
    <w:name w:val="Normal Single Char"/>
    <w:link w:val="NormalSingle"/>
    <w:locked/>
    <w:rsid w:val="003C5B75"/>
    <w:rPr>
      <w:rFonts w:ascii="Arial" w:eastAsia="Times New Roman" w:hAnsi="Arial" w:cs="Times New Roman"/>
      <w:szCs w:val="20"/>
      <w:lang w:eastAsia="en-GB"/>
    </w:rPr>
  </w:style>
  <w:style w:type="paragraph" w:customStyle="1" w:styleId="AppendixTitle0">
    <w:name w:val="Appendix Title"/>
    <w:link w:val="AppendixTitleChar"/>
    <w:rsid w:val="003C5B75"/>
    <w:pPr>
      <w:spacing w:after="0" w:line="240" w:lineRule="auto"/>
    </w:pPr>
    <w:rPr>
      <w:rFonts w:ascii="Arial" w:hAnsi="Arial" w:cs="Times New Roman"/>
      <w:caps/>
      <w:color w:val="5B9BD5" w:themeColor="accent1"/>
      <w:spacing w:val="40"/>
      <w:sz w:val="52"/>
      <w:szCs w:val="20"/>
    </w:rPr>
  </w:style>
  <w:style w:type="paragraph" w:customStyle="1" w:styleId="AppendixSubtitle0">
    <w:name w:val="Appendix Subtitle"/>
    <w:link w:val="AppendixSubtitleChar"/>
    <w:rsid w:val="003C5B75"/>
    <w:pPr>
      <w:spacing w:after="240" w:line="240" w:lineRule="auto"/>
    </w:pPr>
    <w:rPr>
      <w:rFonts w:ascii="Arial" w:hAnsi="Arial" w:cs="Times New Roman"/>
      <w:caps/>
      <w:color w:val="ED7D31" w:themeColor="accent2"/>
      <w:spacing w:val="40"/>
      <w:sz w:val="36"/>
      <w:szCs w:val="36"/>
    </w:rPr>
  </w:style>
  <w:style w:type="character" w:customStyle="1" w:styleId="AppendixTitleChar">
    <w:name w:val="Appendix Title Char"/>
    <w:basedOn w:val="DefaultParagraphFont"/>
    <w:link w:val="AppendixTitle0"/>
    <w:rsid w:val="003C5B75"/>
    <w:rPr>
      <w:rFonts w:ascii="Arial" w:hAnsi="Arial" w:cs="Times New Roman"/>
      <w:caps/>
      <w:color w:val="5B9BD5" w:themeColor="accent1"/>
      <w:spacing w:val="40"/>
      <w:sz w:val="52"/>
      <w:szCs w:val="20"/>
    </w:rPr>
  </w:style>
  <w:style w:type="character" w:customStyle="1" w:styleId="AppendixSubtitleChar">
    <w:name w:val="Appendix Subtitle Char"/>
    <w:basedOn w:val="DefaultParagraphFont"/>
    <w:link w:val="AppendixSubtitle0"/>
    <w:rsid w:val="003C5B75"/>
    <w:rPr>
      <w:rFonts w:ascii="Arial" w:hAnsi="Arial" w:cs="Times New Roman"/>
      <w:caps/>
      <w:color w:val="ED7D31" w:themeColor="accent2"/>
      <w:spacing w:val="40"/>
      <w:sz w:val="36"/>
      <w:szCs w:val="36"/>
    </w:rPr>
  </w:style>
  <w:style w:type="paragraph" w:customStyle="1" w:styleId="BoxedTextDark">
    <w:name w:val="Boxed Text Dark"/>
    <w:next w:val="Normal"/>
    <w:rsid w:val="003C5B75"/>
    <w:pPr>
      <w:pBdr>
        <w:top w:val="single" w:sz="4" w:space="10" w:color="44546A" w:themeColor="text2"/>
        <w:left w:val="single" w:sz="4" w:space="10" w:color="44546A" w:themeColor="text2"/>
        <w:bottom w:val="single" w:sz="4" w:space="10" w:color="44546A" w:themeColor="text2"/>
        <w:right w:val="single" w:sz="4" w:space="10" w:color="44546A" w:themeColor="text2"/>
      </w:pBdr>
      <w:shd w:val="clear" w:color="auto" w:fill="44546A" w:themeFill="text2"/>
      <w:spacing w:before="120" w:after="120" w:line="300" w:lineRule="exact"/>
    </w:pPr>
    <w:rPr>
      <w:rFonts w:ascii="Times New Roman" w:eastAsia="Times New Roman" w:hAnsi="Times New Roman" w:cs="Times New Roman"/>
      <w:color w:val="FFFFFF" w:themeColor="background1"/>
      <w:sz w:val="20"/>
      <w:szCs w:val="20"/>
      <w:lang w:val="en-US"/>
    </w:rPr>
  </w:style>
  <w:style w:type="paragraph" w:customStyle="1" w:styleId="BoxedTextBright">
    <w:name w:val="Boxed Text Bright"/>
    <w:next w:val="Normal"/>
    <w:rsid w:val="003C5B75"/>
    <w:pPr>
      <w:pBdr>
        <w:top w:val="single" w:sz="4" w:space="10" w:color="ED7D31" w:themeColor="accent2"/>
        <w:left w:val="single" w:sz="4" w:space="10" w:color="ED7D31" w:themeColor="accent2"/>
        <w:bottom w:val="single" w:sz="4" w:space="10" w:color="ED7D31" w:themeColor="accent2"/>
        <w:right w:val="single" w:sz="4" w:space="10" w:color="ED7D31" w:themeColor="accent2"/>
      </w:pBdr>
      <w:shd w:val="clear" w:color="auto" w:fill="ED7D31" w:themeFill="accent2"/>
      <w:spacing w:before="120" w:after="120" w:line="300" w:lineRule="exact"/>
    </w:pPr>
    <w:rPr>
      <w:rFonts w:ascii="Times New Roman" w:eastAsia="Times New Roman" w:hAnsi="Times New Roman" w:cs="Times New Roman"/>
      <w:color w:val="FFFFFF" w:themeColor="background1"/>
      <w:sz w:val="20"/>
      <w:szCs w:val="20"/>
      <w:lang w:val="en-US"/>
    </w:rPr>
  </w:style>
  <w:style w:type="paragraph" w:customStyle="1" w:styleId="BoxedTextMedium">
    <w:name w:val="Boxed Text Medium"/>
    <w:basedOn w:val="Normal"/>
    <w:rsid w:val="003C5B75"/>
    <w:pPr>
      <w:pBdr>
        <w:top w:val="single" w:sz="4" w:space="10" w:color="A5A5A5" w:themeColor="accent3"/>
        <w:left w:val="single" w:sz="4" w:space="10" w:color="A5A5A5" w:themeColor="accent3"/>
        <w:bottom w:val="single" w:sz="4" w:space="10" w:color="A5A5A5" w:themeColor="accent3"/>
        <w:right w:val="single" w:sz="4" w:space="10" w:color="A5A5A5" w:themeColor="accent3"/>
      </w:pBdr>
      <w:shd w:val="clear" w:color="auto" w:fill="A5A5A5" w:themeFill="accent3"/>
      <w:autoSpaceDE/>
      <w:autoSpaceDN/>
      <w:adjustRightInd/>
      <w:spacing w:after="240" w:line="300" w:lineRule="exact"/>
      <w:jc w:val="left"/>
    </w:pPr>
    <w:rPr>
      <w:rFonts w:eastAsia="Times New Roman" w:cs="Times New Roman"/>
      <w:color w:val="FFFFFF" w:themeColor="background1"/>
      <w:sz w:val="22"/>
      <w:szCs w:val="20"/>
      <w:lang w:val="en-US"/>
    </w:rPr>
  </w:style>
  <w:style w:type="paragraph" w:customStyle="1" w:styleId="BoxedTextLight">
    <w:name w:val="Boxed Text Light"/>
    <w:next w:val="Normal"/>
    <w:rsid w:val="003C5B75"/>
    <w:pPr>
      <w:pBdr>
        <w:top w:val="single" w:sz="4" w:space="10" w:color="FFC000" w:themeColor="accent4"/>
        <w:left w:val="single" w:sz="4" w:space="10" w:color="FFC000" w:themeColor="accent4"/>
        <w:bottom w:val="single" w:sz="4" w:space="10" w:color="FFC000" w:themeColor="accent4"/>
        <w:right w:val="single" w:sz="4" w:space="10" w:color="FFC000" w:themeColor="accent4"/>
      </w:pBdr>
      <w:shd w:val="clear" w:color="auto" w:fill="FFC000" w:themeFill="accent4"/>
      <w:spacing w:before="120" w:after="120" w:line="300" w:lineRule="exact"/>
    </w:pPr>
    <w:rPr>
      <w:rFonts w:ascii="Times New Roman" w:eastAsia="Times New Roman" w:hAnsi="Times New Roman" w:cs="Times New Roman"/>
      <w:sz w:val="20"/>
      <w:szCs w:val="20"/>
      <w:lang w:val="en-US"/>
    </w:rPr>
  </w:style>
  <w:style w:type="paragraph" w:customStyle="1" w:styleId="BoxedTextGrey">
    <w:name w:val="Boxed Text Grey"/>
    <w:next w:val="Normal"/>
    <w:rsid w:val="003C5B75"/>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spacing w:before="120" w:after="120" w:line="300" w:lineRule="exact"/>
    </w:pPr>
    <w:rPr>
      <w:rFonts w:ascii="Times New Roman" w:eastAsia="Times New Roman" w:hAnsi="Times New Roman" w:cs="Times New Roman"/>
      <w:sz w:val="20"/>
      <w:szCs w:val="20"/>
      <w:lang w:val="en-US"/>
    </w:rPr>
  </w:style>
  <w:style w:type="paragraph" w:customStyle="1" w:styleId="BrightHeading1">
    <w:name w:val="Bright Heading 1"/>
    <w:next w:val="Normal"/>
    <w:rsid w:val="003C5B75"/>
    <w:pP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BrightHeading2">
    <w:name w:val="Bright Heading 2"/>
    <w:next w:val="Normal"/>
    <w:rsid w:val="003C5B75"/>
    <w:pPr>
      <w:spacing w:before="120" w:after="120" w:line="300" w:lineRule="exact"/>
    </w:pPr>
    <w:rPr>
      <w:rFonts w:ascii="Times New Roman" w:eastAsia="Times New Roman" w:hAnsi="Times New Roman" w:cs="Times New Roman"/>
      <w:b/>
      <w:i/>
      <w:color w:val="ED7D31" w:themeColor="accent2"/>
      <w:sz w:val="20"/>
      <w:szCs w:val="20"/>
      <w:lang w:val="en-US"/>
    </w:rPr>
  </w:style>
  <w:style w:type="paragraph" w:customStyle="1" w:styleId="BrightHeading3">
    <w:name w:val="Bright Heading 3"/>
    <w:next w:val="Normal"/>
    <w:rsid w:val="003C5B75"/>
    <w:pPr>
      <w:pBdr>
        <w:top w:val="single" w:sz="4" w:space="4" w:color="ED7D31" w:themeColor="accent2"/>
        <w:bottom w:val="single" w:sz="4" w:space="4" w:color="ED7D31" w:themeColor="accent2"/>
      </w:pBd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BrightHeading4">
    <w:name w:val="Bright Heading 4"/>
    <w:next w:val="Normal"/>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hd w:val="clear" w:color="auto" w:fill="ED7D31" w:themeFill="accent2"/>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BrightHeading5">
    <w:name w:val="Bright Heading 5"/>
    <w:next w:val="Normal"/>
    <w:rsid w:val="003C5B75"/>
    <w:pPr>
      <w:spacing w:before="120" w:after="120" w:line="300" w:lineRule="exact"/>
    </w:pPr>
    <w:rPr>
      <w:rFonts w:ascii="Times New Roman" w:eastAsia="Times New Roman" w:hAnsi="Times New Roman" w:cs="Times New Roman"/>
      <w:caps/>
      <w:color w:val="ED7D31" w:themeColor="accent2"/>
      <w:spacing w:val="60"/>
      <w:sz w:val="20"/>
      <w:szCs w:val="20"/>
      <w:lang w:val="en-US"/>
    </w:rPr>
  </w:style>
  <w:style w:type="paragraph" w:customStyle="1" w:styleId="Bulletslevel2">
    <w:name w:val="Bullets level 2"/>
    <w:rsid w:val="003C5B75"/>
    <w:pPr>
      <w:numPr>
        <w:numId w:val="41"/>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CoverTitle">
    <w:name w:val="Cover Title"/>
    <w:next w:val="CoverSubTitle"/>
    <w:rsid w:val="003C5B75"/>
    <w:pPr>
      <w:spacing w:before="1400" w:after="120" w:line="240" w:lineRule="auto"/>
      <w:ind w:left="425"/>
    </w:pPr>
    <w:rPr>
      <w:rFonts w:ascii="Times New Roman" w:eastAsia="Times New Roman" w:hAnsi="Times New Roman" w:cs="Times New Roman"/>
      <w:caps/>
      <w:color w:val="44546A" w:themeColor="text2"/>
      <w:spacing w:val="100"/>
      <w:sz w:val="40"/>
      <w:szCs w:val="20"/>
      <w:lang w:val="en-US" w:eastAsia="en-GB"/>
    </w:rPr>
  </w:style>
  <w:style w:type="paragraph" w:customStyle="1" w:styleId="CoverSubTitle">
    <w:name w:val="Cover Sub Title"/>
    <w:next w:val="Normal"/>
    <w:rsid w:val="003C5B75"/>
    <w:pPr>
      <w:spacing w:before="120" w:after="800" w:line="240" w:lineRule="auto"/>
    </w:pPr>
    <w:rPr>
      <w:rFonts w:ascii="Times New Roman" w:eastAsia="Times New Roman" w:hAnsi="Times New Roman" w:cs="Times New Roman"/>
      <w:caps/>
      <w:color w:val="ED7D31" w:themeColor="accent2"/>
      <w:spacing w:val="100"/>
      <w:sz w:val="36"/>
      <w:szCs w:val="20"/>
      <w:lang w:val="en-US"/>
    </w:rPr>
  </w:style>
  <w:style w:type="paragraph" w:customStyle="1" w:styleId="Heading1Dark">
    <w:name w:val="Heading 1 Dark"/>
    <w:next w:val="Normal"/>
    <w:rsid w:val="003C5B75"/>
    <w:pPr>
      <w:spacing w:before="120" w:after="120" w:line="300" w:lineRule="exact"/>
    </w:pPr>
    <w:rPr>
      <w:rFonts w:ascii="Times New Roman" w:eastAsia="Times New Roman" w:hAnsi="Times New Roman" w:cs="Times New Roman"/>
      <w:b/>
      <w:color w:val="44546A" w:themeColor="text2"/>
      <w:sz w:val="20"/>
      <w:szCs w:val="20"/>
      <w:lang w:val="en-US"/>
    </w:rPr>
  </w:style>
  <w:style w:type="paragraph" w:customStyle="1" w:styleId="Heading2Dark">
    <w:name w:val="Heading 2 Dark"/>
    <w:next w:val="Normal"/>
    <w:rsid w:val="003C5B75"/>
    <w:pPr>
      <w:spacing w:before="120" w:after="120" w:line="300" w:lineRule="exact"/>
    </w:pPr>
    <w:rPr>
      <w:rFonts w:ascii="Times New Roman" w:eastAsia="Times New Roman" w:hAnsi="Times New Roman" w:cs="Times New Roman"/>
      <w:b/>
      <w:i/>
      <w:color w:val="44546A" w:themeColor="text2"/>
      <w:sz w:val="20"/>
      <w:szCs w:val="20"/>
      <w:lang w:val="en-US"/>
    </w:rPr>
  </w:style>
  <w:style w:type="paragraph" w:customStyle="1" w:styleId="Heading3Dark">
    <w:name w:val="Heading 3 Dark"/>
    <w:rsid w:val="003C5B75"/>
    <w:pPr>
      <w:pBdr>
        <w:top w:val="single" w:sz="4" w:space="4" w:color="44546A" w:themeColor="text2"/>
        <w:bottom w:val="single" w:sz="4" w:space="4" w:color="44546A" w:themeColor="text2"/>
      </w:pBdr>
      <w:spacing w:before="120" w:after="120" w:line="300" w:lineRule="exact"/>
    </w:pPr>
    <w:rPr>
      <w:rFonts w:ascii="Times New Roman" w:eastAsia="Times New Roman" w:hAnsi="Times New Roman" w:cs="Times New Roman"/>
      <w:b/>
      <w:color w:val="44546A" w:themeColor="text2"/>
      <w:sz w:val="20"/>
      <w:szCs w:val="20"/>
      <w:lang w:val="en-US"/>
    </w:rPr>
  </w:style>
  <w:style w:type="paragraph" w:customStyle="1" w:styleId="Heading4Dark">
    <w:name w:val="Heading 4 Dark"/>
    <w:basedOn w:val="AppendixStart"/>
    <w:next w:val="Normal"/>
    <w:rsid w:val="003C5B75"/>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44546A" w:themeFill="text2"/>
      <w:spacing w:before="120" w:after="120" w:line="300" w:lineRule="exact"/>
    </w:pPr>
    <w:rPr>
      <w:rFonts w:cs="Times New Roman"/>
      <w:b/>
      <w:caps w:val="0"/>
      <w:sz w:val="20"/>
    </w:rPr>
  </w:style>
  <w:style w:type="paragraph" w:customStyle="1" w:styleId="MediumHeading1">
    <w:name w:val="Medium Heading 1"/>
    <w:next w:val="Normal"/>
    <w:rsid w:val="003C5B75"/>
    <w:pPr>
      <w:spacing w:before="120" w:after="120" w:line="300" w:lineRule="exact"/>
    </w:pPr>
    <w:rPr>
      <w:rFonts w:ascii="Times New Roman" w:eastAsia="Times New Roman" w:hAnsi="Times New Roman" w:cs="Times New Roman"/>
      <w:b/>
      <w:color w:val="A5A5A5" w:themeColor="accent3"/>
      <w:sz w:val="20"/>
      <w:szCs w:val="20"/>
      <w:lang w:val="en-US"/>
    </w:rPr>
  </w:style>
  <w:style w:type="paragraph" w:customStyle="1" w:styleId="MediumHeading2">
    <w:name w:val="Medium Heading 2"/>
    <w:next w:val="Normal"/>
    <w:rsid w:val="003C5B75"/>
    <w:pPr>
      <w:spacing w:before="120" w:after="120" w:line="300" w:lineRule="exact"/>
    </w:pPr>
    <w:rPr>
      <w:rFonts w:ascii="Times New Roman" w:eastAsia="Times New Roman" w:hAnsi="Times New Roman" w:cs="Times New Roman"/>
      <w:b/>
      <w:i/>
      <w:color w:val="A5A5A5" w:themeColor="accent3"/>
      <w:sz w:val="20"/>
      <w:szCs w:val="20"/>
      <w:lang w:val="en-US"/>
    </w:rPr>
  </w:style>
  <w:style w:type="paragraph" w:customStyle="1" w:styleId="MediumHeading3">
    <w:name w:val="Medium Heading 3"/>
    <w:next w:val="Normal"/>
    <w:rsid w:val="003C5B75"/>
    <w:pPr>
      <w:pBdr>
        <w:top w:val="single" w:sz="4" w:space="4" w:color="A5A5A5" w:themeColor="accent3"/>
        <w:bottom w:val="single" w:sz="4" w:space="4" w:color="A5A5A5" w:themeColor="accent3"/>
      </w:pBdr>
      <w:spacing w:before="120" w:after="120" w:line="300" w:lineRule="exact"/>
    </w:pPr>
    <w:rPr>
      <w:rFonts w:ascii="Times New Roman" w:eastAsia="Times New Roman" w:hAnsi="Times New Roman" w:cs="Times New Roman"/>
      <w:b/>
      <w:color w:val="A5A5A5" w:themeColor="accent3"/>
      <w:sz w:val="20"/>
      <w:szCs w:val="20"/>
      <w:lang w:val="en-US"/>
    </w:rPr>
  </w:style>
  <w:style w:type="paragraph" w:customStyle="1" w:styleId="MediumHeading4">
    <w:name w:val="Medium Heading 4"/>
    <w:next w:val="Normal"/>
    <w:rsid w:val="003C5B75"/>
    <w:pPr>
      <w:pBdr>
        <w:top w:val="single" w:sz="4" w:space="4" w:color="A5A5A5" w:themeColor="accent3"/>
        <w:left w:val="single" w:sz="4" w:space="4" w:color="A5A5A5" w:themeColor="accent3"/>
        <w:bottom w:val="single" w:sz="4" w:space="4" w:color="A5A5A5" w:themeColor="accent3"/>
        <w:right w:val="single" w:sz="4" w:space="4" w:color="A5A5A5" w:themeColor="accent3"/>
      </w:pBdr>
      <w:shd w:val="clear" w:color="auto" w:fill="A5A5A5" w:themeFill="accent3"/>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NumberedParagraphs">
    <w:name w:val="Numbered Paragraphs"/>
    <w:rsid w:val="003C5B75"/>
    <w:pPr>
      <w:numPr>
        <w:numId w:val="42"/>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Question1">
    <w:name w:val="Question 1"/>
    <w:next w:val="Normal"/>
    <w:rsid w:val="003C5B75"/>
    <w:pP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Question3">
    <w:name w:val="Question 3"/>
    <w:next w:val="Normal"/>
    <w:rsid w:val="003C5B75"/>
    <w:pPr>
      <w:pBdr>
        <w:top w:val="single" w:sz="4" w:space="4" w:color="ED7D31" w:themeColor="accent2"/>
        <w:bottom w:val="single" w:sz="4" w:space="4" w:color="ED7D31" w:themeColor="accent2"/>
      </w:pBd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Question4">
    <w:name w:val="Question 4"/>
    <w:next w:val="Normal"/>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hd w:val="clear" w:color="auto" w:fill="ED7D31" w:themeFill="accent2"/>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Question5">
    <w:name w:val="Question 5"/>
    <w:next w:val="Normal"/>
    <w:rsid w:val="003C5B75"/>
    <w:pPr>
      <w:spacing w:before="120" w:after="120" w:line="300" w:lineRule="exact"/>
    </w:pPr>
    <w:rPr>
      <w:rFonts w:ascii="Times New Roman" w:eastAsia="Times New Roman" w:hAnsi="Times New Roman" w:cs="Times New Roman"/>
      <w:caps/>
      <w:color w:val="ED7D31" w:themeColor="accent2"/>
      <w:sz w:val="20"/>
      <w:szCs w:val="20"/>
      <w:lang w:val="en-US"/>
    </w:rPr>
  </w:style>
  <w:style w:type="paragraph" w:customStyle="1" w:styleId="ShadowBoxBright">
    <w:name w:val="Shadow Box Bright"/>
    <w:next w:val="Normal"/>
    <w:rsid w:val="003C5B75"/>
    <w:pPr>
      <w:pBdr>
        <w:top w:val="single" w:sz="12" w:space="4" w:color="ED7D31" w:themeColor="accent2" w:shadow="1"/>
        <w:left w:val="single" w:sz="12" w:space="4" w:color="ED7D31" w:themeColor="accent2" w:shadow="1"/>
        <w:bottom w:val="single" w:sz="12" w:space="4" w:color="ED7D31" w:themeColor="accent2" w:shadow="1"/>
        <w:right w:val="single" w:sz="12" w:space="4" w:color="ED7D31" w:themeColor="accent2"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paragraph" w:customStyle="1" w:styleId="ShadowBoxDark">
    <w:name w:val="Shadow Box Dark"/>
    <w:next w:val="Normal"/>
    <w:rsid w:val="003C5B75"/>
    <w:pPr>
      <w:pBdr>
        <w:top w:val="single" w:sz="12" w:space="4" w:color="44546A" w:themeColor="text2" w:shadow="1"/>
        <w:left w:val="single" w:sz="12" w:space="4" w:color="44546A" w:themeColor="text2" w:shadow="1"/>
        <w:bottom w:val="single" w:sz="12" w:space="4" w:color="44546A" w:themeColor="text2" w:shadow="1"/>
        <w:right w:val="single" w:sz="12" w:space="4" w:color="44546A" w:themeColor="text2"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paragraph" w:customStyle="1" w:styleId="ShadowBoxMedium">
    <w:name w:val="Shadow Box Medium"/>
    <w:next w:val="Normal"/>
    <w:rsid w:val="003C5B75"/>
    <w:pPr>
      <w:pBdr>
        <w:top w:val="single" w:sz="12" w:space="4" w:color="A5A5A5" w:themeColor="accent3" w:shadow="1"/>
        <w:left w:val="single" w:sz="12" w:space="4" w:color="A5A5A5" w:themeColor="accent3" w:shadow="1"/>
        <w:bottom w:val="single" w:sz="12" w:space="4" w:color="A5A5A5" w:themeColor="accent3" w:shadow="1"/>
        <w:right w:val="single" w:sz="12" w:space="4" w:color="A5A5A5" w:themeColor="accent3"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character" w:customStyle="1" w:styleId="BrightText">
    <w:name w:val="Bright Text"/>
    <w:uiPriority w:val="1"/>
    <w:rsid w:val="003C5B75"/>
    <w:rPr>
      <w:rFonts w:ascii="Arial" w:hAnsi="Arial"/>
      <w:color w:val="ED7D31" w:themeColor="accent2"/>
      <w:sz w:val="20"/>
    </w:rPr>
  </w:style>
  <w:style w:type="character" w:customStyle="1" w:styleId="DarkText">
    <w:name w:val="Dark Text"/>
    <w:uiPriority w:val="1"/>
    <w:rsid w:val="003C5B75"/>
    <w:rPr>
      <w:rFonts w:ascii="Arial" w:hAnsi="Arial"/>
      <w:color w:val="44546A" w:themeColor="text2"/>
      <w:sz w:val="20"/>
    </w:rPr>
  </w:style>
  <w:style w:type="character" w:customStyle="1" w:styleId="MediumText">
    <w:name w:val="Medium Text"/>
    <w:uiPriority w:val="1"/>
    <w:rsid w:val="003C5B75"/>
    <w:rPr>
      <w:rFonts w:ascii="Arial" w:hAnsi="Arial"/>
      <w:color w:val="A5A5A5" w:themeColor="accent3"/>
      <w:sz w:val="20"/>
    </w:rPr>
  </w:style>
  <w:style w:type="paragraph" w:customStyle="1" w:styleId="SectionStart2">
    <w:name w:val="Section Start 2"/>
    <w:next w:val="Normal"/>
    <w:rsid w:val="003C5B75"/>
    <w:pPr>
      <w:pBdr>
        <w:bottom w:val="single" w:sz="18" w:space="20" w:color="ED7D31" w:themeColor="accent2"/>
      </w:pBdr>
      <w:spacing w:before="120" w:after="500" w:line="240" w:lineRule="auto"/>
    </w:pPr>
    <w:rPr>
      <w:rFonts w:ascii="Times New Roman" w:eastAsia="Times New Roman" w:hAnsi="Times New Roman" w:cs="Times New Roman"/>
      <w:caps/>
      <w:color w:val="44546A" w:themeColor="text2"/>
      <w:spacing w:val="100"/>
      <w:sz w:val="48"/>
      <w:szCs w:val="20"/>
      <w:lang w:val="en-US"/>
    </w:rPr>
  </w:style>
  <w:style w:type="paragraph" w:customStyle="1" w:styleId="Heading5Dark">
    <w:name w:val="Heading 5 Dark"/>
    <w:next w:val="Normal"/>
    <w:rsid w:val="003C5B75"/>
    <w:pPr>
      <w:spacing w:before="120" w:after="120" w:line="300" w:lineRule="exact"/>
    </w:pPr>
    <w:rPr>
      <w:rFonts w:ascii="Times New Roman" w:eastAsia="Times New Roman" w:hAnsi="Times New Roman" w:cs="Times New Roman"/>
      <w:caps/>
      <w:color w:val="44546A" w:themeColor="text2"/>
      <w:spacing w:val="60"/>
      <w:sz w:val="20"/>
      <w:szCs w:val="20"/>
      <w:lang w:val="en-US"/>
    </w:rPr>
  </w:style>
  <w:style w:type="paragraph" w:customStyle="1" w:styleId="MediumHeading5">
    <w:name w:val="Medium Heading 5"/>
    <w:basedOn w:val="Normal"/>
    <w:rsid w:val="003C5B75"/>
    <w:pPr>
      <w:autoSpaceDE/>
      <w:autoSpaceDN/>
      <w:adjustRightInd/>
      <w:spacing w:after="240" w:line="300" w:lineRule="exact"/>
      <w:jc w:val="left"/>
    </w:pPr>
    <w:rPr>
      <w:rFonts w:eastAsia="Times New Roman" w:cs="Times New Roman"/>
      <w:caps/>
      <w:color w:val="A5A5A5" w:themeColor="accent3"/>
      <w:spacing w:val="60"/>
      <w:sz w:val="22"/>
      <w:szCs w:val="20"/>
      <w:lang w:val="en-US"/>
    </w:rPr>
  </w:style>
  <w:style w:type="paragraph" w:customStyle="1" w:styleId="Quote0">
    <w:name w:val="*Quote"/>
    <w:basedOn w:val="DocumentText"/>
    <w:link w:val="QuoteChar0"/>
    <w:qFormat/>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pacing w:after="0" w:line="240" w:lineRule="auto"/>
    </w:pPr>
    <w:rPr>
      <w:rFonts w:ascii="Georgia" w:hAnsi="Georgia"/>
      <w:color w:val="ED7D31" w:themeColor="accent2"/>
      <w:sz w:val="28"/>
    </w:rPr>
  </w:style>
  <w:style w:type="character" w:customStyle="1" w:styleId="QuoteChar0">
    <w:name w:val="*Quote Char"/>
    <w:basedOn w:val="DocumentTextChar"/>
    <w:link w:val="Quote0"/>
    <w:rsid w:val="003C5B75"/>
    <w:rPr>
      <w:rFonts w:ascii="Georgia" w:eastAsia="Times New Roman" w:hAnsi="Georgia" w:cs="Times New Roman"/>
      <w:color w:val="ED7D31" w:themeColor="accent2"/>
      <w:sz w:val="28"/>
      <w:lang w:val="en-US"/>
    </w:rPr>
  </w:style>
  <w:style w:type="character" w:customStyle="1" w:styleId="DocumentTextChar">
    <w:name w:val="*Document Text Char"/>
    <w:basedOn w:val="DefaultParagraphFont"/>
    <w:link w:val="DocumentText"/>
    <w:rsid w:val="003C5B75"/>
    <w:rPr>
      <w:rFonts w:ascii="Arial" w:eastAsia="Times New Roman" w:hAnsi="Arial" w:cs="Times New Roman"/>
      <w:color w:val="7C848A"/>
      <w:lang w:val="en-US"/>
    </w:rPr>
  </w:style>
  <w:style w:type="paragraph" w:customStyle="1" w:styleId="NormalIndent2">
    <w:name w:val="Normal Indent 2"/>
    <w:basedOn w:val="Normal"/>
    <w:link w:val="NormalIndent2Char"/>
    <w:rsid w:val="003C5B75"/>
    <w:pPr>
      <w:autoSpaceDE/>
      <w:autoSpaceDN/>
      <w:adjustRightInd/>
      <w:spacing w:after="0" w:line="260" w:lineRule="atLeast"/>
      <w:ind w:left="720"/>
      <w:jc w:val="left"/>
    </w:pPr>
    <w:rPr>
      <w:rFonts w:eastAsia="Times New Roman" w:cs="Arial"/>
      <w:color w:val="auto"/>
      <w:sz w:val="16"/>
      <w:szCs w:val="16"/>
      <w:lang w:val="en-US"/>
    </w:rPr>
  </w:style>
  <w:style w:type="character" w:customStyle="1" w:styleId="NormalIndent2Char">
    <w:name w:val="Normal Indent 2 Char"/>
    <w:basedOn w:val="LogoChar"/>
    <w:link w:val="NormalIndent2"/>
    <w:rsid w:val="003C5B75"/>
    <w:rPr>
      <w:rFonts w:ascii="Arial" w:eastAsia="Times New Roman" w:hAnsi="Arial" w:cs="Arial"/>
      <w:sz w:val="16"/>
      <w:szCs w:val="16"/>
      <w:lang w:val="en-US"/>
    </w:rPr>
  </w:style>
  <w:style w:type="paragraph" w:customStyle="1" w:styleId="NormalIndent1">
    <w:name w:val="Normal Indent 1"/>
    <w:basedOn w:val="Normal"/>
    <w:link w:val="NormalIndent1Char"/>
    <w:rsid w:val="003C5B75"/>
    <w:pPr>
      <w:autoSpaceDE/>
      <w:autoSpaceDN/>
      <w:adjustRightInd/>
      <w:spacing w:after="0" w:line="260" w:lineRule="atLeast"/>
      <w:ind w:left="360"/>
      <w:jc w:val="left"/>
    </w:pPr>
    <w:rPr>
      <w:rFonts w:eastAsia="Times New Roman" w:cs="Arial"/>
      <w:color w:val="auto"/>
      <w:sz w:val="16"/>
      <w:szCs w:val="16"/>
      <w:lang w:val="en-US"/>
    </w:rPr>
  </w:style>
  <w:style w:type="character" w:customStyle="1" w:styleId="NormalIndent1Char">
    <w:name w:val="Normal Indent 1 Char"/>
    <w:basedOn w:val="LogoChar"/>
    <w:link w:val="NormalIndent1"/>
    <w:rsid w:val="003C5B75"/>
    <w:rPr>
      <w:rFonts w:ascii="Arial" w:eastAsia="Times New Roman" w:hAnsi="Arial" w:cs="Arial"/>
      <w:sz w:val="16"/>
      <w:szCs w:val="16"/>
      <w:lang w:val="en-US"/>
    </w:rPr>
  </w:style>
  <w:style w:type="paragraph" w:customStyle="1" w:styleId="Legalcopy">
    <w:name w:val="Legal copy"/>
    <w:basedOn w:val="Normal"/>
    <w:rsid w:val="003C5B75"/>
    <w:pPr>
      <w:autoSpaceDE/>
      <w:autoSpaceDN/>
      <w:adjustRightInd/>
      <w:spacing w:after="0" w:line="140" w:lineRule="atLeast"/>
      <w:jc w:val="left"/>
    </w:pPr>
    <w:rPr>
      <w:rFonts w:eastAsia="Times New Roman" w:cs="Arial"/>
      <w:color w:val="auto"/>
      <w:sz w:val="12"/>
      <w:szCs w:val="20"/>
    </w:rPr>
  </w:style>
  <w:style w:type="paragraph" w:customStyle="1" w:styleId="LogoHide2">
    <w:name w:val="Logo Hide 2"/>
    <w:basedOn w:val="Normal"/>
    <w:next w:val="Normal"/>
    <w:rsid w:val="003C5B75"/>
    <w:pPr>
      <w:autoSpaceDE/>
      <w:autoSpaceDN/>
      <w:adjustRightInd/>
      <w:spacing w:after="0" w:line="260" w:lineRule="atLeast"/>
      <w:jc w:val="left"/>
    </w:pPr>
    <w:rPr>
      <w:rFonts w:eastAsia="Times New Roman" w:cs="Arial"/>
      <w:noProof/>
      <w:color w:val="auto"/>
      <w:sz w:val="22"/>
      <w:szCs w:val="20"/>
    </w:rPr>
  </w:style>
  <w:style w:type="character" w:customStyle="1" w:styleId="TextHide">
    <w:name w:val="Text Hide"/>
    <w:basedOn w:val="DefaultParagraphFont"/>
    <w:rsid w:val="003C5B75"/>
  </w:style>
  <w:style w:type="paragraph" w:customStyle="1" w:styleId="Pa8">
    <w:name w:val="Pa8"/>
    <w:basedOn w:val="Default"/>
    <w:next w:val="Default"/>
    <w:uiPriority w:val="99"/>
    <w:rsid w:val="00B4257F"/>
    <w:pPr>
      <w:spacing w:line="241" w:lineRule="atLeast"/>
    </w:pPr>
    <w:rPr>
      <w:rFonts w:ascii="Swiss 72 1 BT" w:eastAsiaTheme="minorHAnsi" w:hAnsi="Swiss 72 1 BT" w:cstheme="minorBidi"/>
      <w:color w:val="auto"/>
      <w:lang w:eastAsia="en-US"/>
    </w:rPr>
  </w:style>
  <w:style w:type="character" w:customStyle="1" w:styleId="A15">
    <w:name w:val="A15"/>
    <w:uiPriority w:val="99"/>
    <w:rsid w:val="00B4257F"/>
    <w:rPr>
      <w:rFonts w:cs="Swiss 72 1 BT"/>
      <w:color w:val="000000"/>
    </w:rPr>
  </w:style>
  <w:style w:type="table" w:styleId="PlainTable3">
    <w:name w:val="Plain Table 3"/>
    <w:basedOn w:val="TableNormal"/>
    <w:uiPriority w:val="43"/>
    <w:rsid w:val="005A3E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lack">
    <w:name w:val="black"/>
    <w:basedOn w:val="Normal"/>
    <w:rsid w:val="005A3E2A"/>
    <w:pPr>
      <w:autoSpaceDE/>
      <w:autoSpaceDN/>
      <w:adjustRightInd/>
      <w:spacing w:after="150"/>
      <w:jc w:val="left"/>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01361">
      <w:bodyDiv w:val="1"/>
      <w:marLeft w:val="0"/>
      <w:marRight w:val="0"/>
      <w:marTop w:val="0"/>
      <w:marBottom w:val="0"/>
      <w:divBdr>
        <w:top w:val="none" w:sz="0" w:space="0" w:color="auto"/>
        <w:left w:val="none" w:sz="0" w:space="0" w:color="auto"/>
        <w:bottom w:val="none" w:sz="0" w:space="0" w:color="auto"/>
        <w:right w:val="none" w:sz="0" w:space="0" w:color="auto"/>
      </w:divBdr>
    </w:div>
    <w:div w:id="587664860">
      <w:bodyDiv w:val="1"/>
      <w:marLeft w:val="0"/>
      <w:marRight w:val="0"/>
      <w:marTop w:val="0"/>
      <w:marBottom w:val="0"/>
      <w:divBdr>
        <w:top w:val="none" w:sz="0" w:space="0" w:color="auto"/>
        <w:left w:val="none" w:sz="0" w:space="0" w:color="auto"/>
        <w:bottom w:val="none" w:sz="0" w:space="0" w:color="auto"/>
        <w:right w:val="none" w:sz="0" w:space="0" w:color="auto"/>
      </w:divBdr>
    </w:div>
    <w:div w:id="905409647">
      <w:bodyDiv w:val="1"/>
      <w:marLeft w:val="0"/>
      <w:marRight w:val="0"/>
      <w:marTop w:val="0"/>
      <w:marBottom w:val="0"/>
      <w:divBdr>
        <w:top w:val="none" w:sz="0" w:space="0" w:color="auto"/>
        <w:left w:val="none" w:sz="0" w:space="0" w:color="auto"/>
        <w:bottom w:val="none" w:sz="0" w:space="0" w:color="auto"/>
        <w:right w:val="none" w:sz="0" w:space="0" w:color="auto"/>
      </w:divBdr>
      <w:divsChild>
        <w:div w:id="1353646682">
          <w:marLeft w:val="0"/>
          <w:marRight w:val="0"/>
          <w:marTop w:val="0"/>
          <w:marBottom w:val="0"/>
          <w:divBdr>
            <w:top w:val="none" w:sz="0" w:space="0" w:color="auto"/>
            <w:left w:val="none" w:sz="0" w:space="0" w:color="auto"/>
            <w:bottom w:val="none" w:sz="0" w:space="0" w:color="auto"/>
            <w:right w:val="none" w:sz="0" w:space="0" w:color="auto"/>
          </w:divBdr>
          <w:divsChild>
            <w:div w:id="1177035951">
              <w:marLeft w:val="0"/>
              <w:marRight w:val="0"/>
              <w:marTop w:val="0"/>
              <w:marBottom w:val="0"/>
              <w:divBdr>
                <w:top w:val="none" w:sz="0" w:space="0" w:color="auto"/>
                <w:left w:val="none" w:sz="0" w:space="0" w:color="auto"/>
                <w:bottom w:val="none" w:sz="0" w:space="0" w:color="auto"/>
                <w:right w:val="none" w:sz="0" w:space="0" w:color="auto"/>
              </w:divBdr>
              <w:divsChild>
                <w:div w:id="121505904">
                  <w:marLeft w:val="0"/>
                  <w:marRight w:val="0"/>
                  <w:marTop w:val="0"/>
                  <w:marBottom w:val="0"/>
                  <w:divBdr>
                    <w:top w:val="none" w:sz="0" w:space="0" w:color="auto"/>
                    <w:left w:val="none" w:sz="0" w:space="0" w:color="auto"/>
                    <w:bottom w:val="none" w:sz="0" w:space="0" w:color="auto"/>
                    <w:right w:val="none" w:sz="0" w:space="0" w:color="auto"/>
                  </w:divBdr>
                  <w:divsChild>
                    <w:div w:id="1452166376">
                      <w:marLeft w:val="0"/>
                      <w:marRight w:val="0"/>
                      <w:marTop w:val="0"/>
                      <w:marBottom w:val="0"/>
                      <w:divBdr>
                        <w:top w:val="none" w:sz="0" w:space="0" w:color="auto"/>
                        <w:left w:val="none" w:sz="0" w:space="0" w:color="auto"/>
                        <w:bottom w:val="none" w:sz="0" w:space="0" w:color="auto"/>
                        <w:right w:val="none" w:sz="0" w:space="0" w:color="auto"/>
                      </w:divBdr>
                      <w:divsChild>
                        <w:div w:id="1257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198714">
      <w:bodyDiv w:val="1"/>
      <w:marLeft w:val="0"/>
      <w:marRight w:val="0"/>
      <w:marTop w:val="0"/>
      <w:marBottom w:val="0"/>
      <w:divBdr>
        <w:top w:val="none" w:sz="0" w:space="0" w:color="auto"/>
        <w:left w:val="none" w:sz="0" w:space="0" w:color="auto"/>
        <w:bottom w:val="none" w:sz="0" w:space="0" w:color="auto"/>
        <w:right w:val="none" w:sz="0" w:space="0" w:color="auto"/>
      </w:divBdr>
      <w:divsChild>
        <w:div w:id="1633442353">
          <w:marLeft w:val="0"/>
          <w:marRight w:val="0"/>
          <w:marTop w:val="0"/>
          <w:marBottom w:val="0"/>
          <w:divBdr>
            <w:top w:val="none" w:sz="0" w:space="0" w:color="auto"/>
            <w:left w:val="none" w:sz="0" w:space="0" w:color="auto"/>
            <w:bottom w:val="none" w:sz="0" w:space="0" w:color="auto"/>
            <w:right w:val="none" w:sz="0" w:space="0" w:color="auto"/>
          </w:divBdr>
          <w:divsChild>
            <w:div w:id="1932394578">
              <w:marLeft w:val="0"/>
              <w:marRight w:val="0"/>
              <w:marTop w:val="0"/>
              <w:marBottom w:val="0"/>
              <w:divBdr>
                <w:top w:val="none" w:sz="0" w:space="0" w:color="auto"/>
                <w:left w:val="none" w:sz="0" w:space="0" w:color="auto"/>
                <w:bottom w:val="none" w:sz="0" w:space="0" w:color="auto"/>
                <w:right w:val="none" w:sz="0" w:space="0" w:color="auto"/>
              </w:divBdr>
              <w:divsChild>
                <w:div w:id="1027174197">
                  <w:marLeft w:val="0"/>
                  <w:marRight w:val="0"/>
                  <w:marTop w:val="0"/>
                  <w:marBottom w:val="0"/>
                  <w:divBdr>
                    <w:top w:val="none" w:sz="0" w:space="0" w:color="auto"/>
                    <w:left w:val="none" w:sz="0" w:space="0" w:color="auto"/>
                    <w:bottom w:val="none" w:sz="0" w:space="0" w:color="auto"/>
                    <w:right w:val="none" w:sz="0" w:space="0" w:color="auto"/>
                  </w:divBdr>
                  <w:divsChild>
                    <w:div w:id="1874079045">
                      <w:marLeft w:val="0"/>
                      <w:marRight w:val="0"/>
                      <w:marTop w:val="0"/>
                      <w:marBottom w:val="0"/>
                      <w:divBdr>
                        <w:top w:val="none" w:sz="0" w:space="0" w:color="auto"/>
                        <w:left w:val="none" w:sz="0" w:space="0" w:color="auto"/>
                        <w:bottom w:val="none" w:sz="0" w:space="0" w:color="auto"/>
                        <w:right w:val="none" w:sz="0" w:space="0" w:color="auto"/>
                      </w:divBdr>
                      <w:divsChild>
                        <w:div w:id="6208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943106">
      <w:bodyDiv w:val="1"/>
      <w:marLeft w:val="0"/>
      <w:marRight w:val="0"/>
      <w:marTop w:val="0"/>
      <w:marBottom w:val="0"/>
      <w:divBdr>
        <w:top w:val="none" w:sz="0" w:space="0" w:color="auto"/>
        <w:left w:val="none" w:sz="0" w:space="0" w:color="auto"/>
        <w:bottom w:val="none" w:sz="0" w:space="0" w:color="auto"/>
        <w:right w:val="none" w:sz="0" w:space="0" w:color="auto"/>
      </w:divBdr>
      <w:divsChild>
        <w:div w:id="978849965">
          <w:marLeft w:val="0"/>
          <w:marRight w:val="0"/>
          <w:marTop w:val="0"/>
          <w:marBottom w:val="0"/>
          <w:divBdr>
            <w:top w:val="none" w:sz="0" w:space="0" w:color="auto"/>
            <w:left w:val="none" w:sz="0" w:space="0" w:color="auto"/>
            <w:bottom w:val="none" w:sz="0" w:space="0" w:color="auto"/>
            <w:right w:val="none" w:sz="0" w:space="0" w:color="auto"/>
          </w:divBdr>
          <w:divsChild>
            <w:div w:id="656568663">
              <w:marLeft w:val="0"/>
              <w:marRight w:val="0"/>
              <w:marTop w:val="0"/>
              <w:marBottom w:val="225"/>
              <w:divBdr>
                <w:top w:val="none" w:sz="0" w:space="0" w:color="auto"/>
                <w:left w:val="none" w:sz="0" w:space="0" w:color="auto"/>
                <w:bottom w:val="none" w:sz="0" w:space="0" w:color="auto"/>
                <w:right w:val="none" w:sz="0" w:space="0" w:color="auto"/>
              </w:divBdr>
              <w:divsChild>
                <w:div w:id="16564958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9421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rpensionservice.org.uk/web/viewdoc.asp?id=64645" TargetMode="External"/><Relationship Id="rId18" Type="http://schemas.openxmlformats.org/officeDocument/2006/relationships/image" Target="media/image5.png"/><Relationship Id="rId26" Type="http://schemas.openxmlformats.org/officeDocument/2006/relationships/hyperlink" Target="http://www.yourpensionservice.org.uk/local_government/index.asp?siteid=5921&amp;pageid=33736&amp;e=e" TargetMode="External"/><Relationship Id="rId39" Type="http://schemas.openxmlformats.org/officeDocument/2006/relationships/image" Target="media/image11.png"/><Relationship Id="rId21" Type="http://schemas.openxmlformats.org/officeDocument/2006/relationships/image" Target="media/image8.png"/><Relationship Id="rId34" Type="http://schemas.openxmlformats.org/officeDocument/2006/relationships/header" Target="header8.xml"/><Relationship Id="rId42" Type="http://schemas.openxmlformats.org/officeDocument/2006/relationships/chart" Target="charts/chart2.xml"/><Relationship Id="rId47" Type="http://schemas.openxmlformats.org/officeDocument/2006/relationships/header" Target="header13.xml"/><Relationship Id="rId50" Type="http://schemas.openxmlformats.org/officeDocument/2006/relationships/hyperlink" Target="mailto:info@localpensionspartnership.org.uk"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ourpensionservice.org.uk/local_government/index.asp?siteid=5921&amp;pageid=33736&amp;e=e" TargetMode="External"/><Relationship Id="rId17" Type="http://schemas.openxmlformats.org/officeDocument/2006/relationships/image" Target="media/image4.png"/><Relationship Id="rId25" Type="http://schemas.openxmlformats.org/officeDocument/2006/relationships/hyperlink" Target="http://www.yourpensionservice.org.uk/local_government/index.asp?siteid=5921&amp;pageid=33736&amp;e=e" TargetMode="External"/><Relationship Id="rId33" Type="http://schemas.openxmlformats.org/officeDocument/2006/relationships/footer" Target="footer3.xml"/><Relationship Id="rId38" Type="http://schemas.openxmlformats.org/officeDocument/2006/relationships/header" Target="header11.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footer" Target="footer2.xml"/><Relationship Id="rId41" Type="http://schemas.openxmlformats.org/officeDocument/2006/relationships/hyperlink" Target="http://council.lancashire.gov.uk/ieListDocuments.aspx?CId=1175&amp;MId=6481&amp;Ver=4"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rpensionservice.org.uk/local_government/index.asp?siteid=5921&amp;pageid=33736&amp;e=e" TargetMode="External"/><Relationship Id="rId24" Type="http://schemas.openxmlformats.org/officeDocument/2006/relationships/hyperlink" Target="https://reporting.unpri.org/surveys/PRI-reporting-framework-2017/3A0E47EB-71BA-414E-9BE8-22774322656A/79894dbc337a40828d895f9402aa63de/html/2/?lang=English&amp;a=1" TargetMode="External"/><Relationship Id="rId32" Type="http://schemas.openxmlformats.org/officeDocument/2006/relationships/header" Target="header7.xml"/><Relationship Id="rId37" Type="http://schemas.openxmlformats.org/officeDocument/2006/relationships/footer" Target="footer4.xml"/><Relationship Id="rId40" Type="http://schemas.openxmlformats.org/officeDocument/2006/relationships/hyperlink" Target="https://www.yourpensionservice.org.uk/local-government-scheme/about-the-funds/lancashire-local-pension-board/" TargetMode="External"/><Relationship Id="rId45" Type="http://schemas.openxmlformats.org/officeDocument/2006/relationships/image" Target="media/image13.png"/><Relationship Id="rId53" Type="http://schemas.openxmlformats.org/officeDocument/2006/relationships/hyperlink" Target="mailto:abigail.leech@lancashire.gov.u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eader" Target="header10.xml"/><Relationship Id="rId49" Type="http://schemas.openxmlformats.org/officeDocument/2006/relationships/hyperlink" Target="tel:+443001236717" TargetMode="Externa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header" Target="header6.xml"/><Relationship Id="rId44" Type="http://schemas.openxmlformats.org/officeDocument/2006/relationships/image" Target="media/image12.jpeg"/><Relationship Id="rId52" Type="http://schemas.openxmlformats.org/officeDocument/2006/relationships/hyperlink" Target="mailto:info@localpensionspartnership.org.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yourpensionservice.org.uk/web/viewdoc.asp?id=72142"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hyperlink" Target="http://www.yourpensionservice.org.uk/local_government/index.asp?siteid=5921&amp;pageid=33736&amp;e=e" TargetMode="External"/><Relationship Id="rId48" Type="http://schemas.openxmlformats.org/officeDocument/2006/relationships/hyperlink" Target="http://www.yourpensionservice.org.uk"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tel:+442073696000"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Calibri" pitchFamily="34" charset="0"/>
              </a:defRPr>
            </a:pPr>
            <a:r>
              <a:rPr lang="en-GB" sz="1400">
                <a:solidFill>
                  <a:sysClr val="windowText" lastClr="000000"/>
                </a:solidFill>
                <a:latin typeface="Calibri" pitchFamily="34" charset="0"/>
              </a:rPr>
              <a:t>Fund Return (%) as at 31st March 2</a:t>
            </a:r>
            <a:r>
              <a:rPr lang="en-GB" sz="1400" baseline="0">
                <a:solidFill>
                  <a:sysClr val="windowText" lastClr="000000"/>
                </a:solidFill>
                <a:latin typeface="Calibri" pitchFamily="34" charset="0"/>
              </a:rPr>
              <a:t>018</a:t>
            </a:r>
            <a:endParaRPr lang="en-GB" sz="1400">
              <a:solidFill>
                <a:sysClr val="windowText" lastClr="000000"/>
              </a:solidFill>
              <a:latin typeface="Calibri" pitchFamily="34" charset="0"/>
            </a:endParaRPr>
          </a:p>
        </c:rich>
      </c:tx>
      <c:layout>
        <c:manualLayout>
          <c:xMode val="edge"/>
          <c:yMode val="edge"/>
          <c:x val="0.27821049395852543"/>
          <c:y val="7.0841480385421618E-3"/>
        </c:manualLayout>
      </c:layout>
      <c:overlay val="0"/>
      <c:spPr>
        <a:noFill/>
        <a:ln w="25400">
          <a:noFill/>
        </a:ln>
      </c:spPr>
    </c:title>
    <c:autoTitleDeleted val="0"/>
    <c:plotArea>
      <c:layout>
        <c:manualLayout>
          <c:layoutTarget val="inner"/>
          <c:xMode val="edge"/>
          <c:yMode val="edge"/>
          <c:x val="9.1114610673665816E-2"/>
          <c:y val="0.21465555555555554"/>
          <c:w val="0.89457804260953866"/>
          <c:h val="0.67928733207414504"/>
        </c:manualLayout>
      </c:layout>
      <c:barChart>
        <c:barDir val="col"/>
        <c:grouping val="clustered"/>
        <c:varyColors val="0"/>
        <c:ser>
          <c:idx val="0"/>
          <c:order val="0"/>
          <c:tx>
            <c:strRef>
              <c:f>'Pg8'!$O$4</c:f>
              <c:strCache>
                <c:ptCount val="1"/>
                <c:pt idx="0">
                  <c:v>Lancashire</c:v>
                </c:pt>
              </c:strCache>
            </c:strRef>
          </c:tx>
          <c:spPr>
            <a:solidFill>
              <a:srgbClr val="00CC99"/>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sz="9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'Pg8'!$N$5:$N$9</c:f>
              <c:strCache>
                <c:ptCount val="5"/>
                <c:pt idx="0">
                  <c:v>Five years</c:v>
                </c:pt>
                <c:pt idx="1">
                  <c:v>Three years</c:v>
                </c:pt>
                <c:pt idx="2">
                  <c:v>Since 31/03/16</c:v>
                </c:pt>
                <c:pt idx="3">
                  <c:v>One year</c:v>
                </c:pt>
                <c:pt idx="4">
                  <c:v>Three months</c:v>
                </c:pt>
              </c:strCache>
            </c:strRef>
          </c:cat>
          <c:val>
            <c:numRef>
              <c:f>'Pg8'!$O$5:$O$9</c:f>
              <c:numCache>
                <c:formatCode>0.00</c:formatCode>
                <c:ptCount val="5"/>
                <c:pt idx="0">
                  <c:v>9.1287519835665503</c:v>
                </c:pt>
                <c:pt idx="1">
                  <c:v>8.8063343775669694</c:v>
                </c:pt>
                <c:pt idx="2">
                  <c:v>12.96</c:v>
                </c:pt>
                <c:pt idx="3">
                  <c:v>4.0296990933940098</c:v>
                </c:pt>
                <c:pt idx="4">
                  <c:v>-0.72914238763066597</c:v>
                </c:pt>
              </c:numCache>
            </c:numRef>
          </c:val>
          <c:extLst xmlns:c16r2="http://schemas.microsoft.com/office/drawing/2015/06/chart">
            <c:ext xmlns:c16="http://schemas.microsoft.com/office/drawing/2014/chart" uri="{C3380CC4-5D6E-409C-BE32-E72D297353CC}">
              <c16:uniqueId val="{00000000-7DEA-4D2A-A1E3-A254A0BCE8D3}"/>
            </c:ext>
          </c:extLst>
        </c:ser>
        <c:ser>
          <c:idx val="1"/>
          <c:order val="1"/>
          <c:tx>
            <c:strRef>
              <c:f>'Pg8'!$P$4</c:f>
              <c:strCache>
                <c:ptCount val="1"/>
                <c:pt idx="0">
                  <c:v>Benchmark</c:v>
                </c:pt>
              </c:strCache>
            </c:strRef>
          </c:tx>
          <c:spPr>
            <a:solidFill>
              <a:srgbClr val="4F81BD"/>
            </a:solidFill>
            <a:effectLst/>
            <a:scene3d>
              <a:camera prst="orthographicFront"/>
              <a:lightRig rig="threePt" dir="t">
                <a:rot lat="0" lon="0" rev="1200000"/>
              </a:lightRig>
            </a:scene3d>
            <a:sp3d/>
          </c:spPr>
          <c:invertIfNegative val="0"/>
          <c:dLbls>
            <c:numFmt formatCode="#,##0.0" sourceLinked="0"/>
            <c:spPr>
              <a:noFill/>
              <a:ln>
                <a:noFill/>
              </a:ln>
              <a:effectLst/>
            </c:spPr>
            <c:txPr>
              <a:bodyPr wrap="square" lIns="38100" tIns="19050" rIns="38100" bIns="19050" anchor="ctr">
                <a:spAutoFit/>
              </a:bodyPr>
              <a:lstStyle/>
              <a:p>
                <a:pPr>
                  <a:defRPr sz="9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1"/>
              </c:ext>
            </c:extLst>
          </c:dLbls>
          <c:cat>
            <c:strRef>
              <c:f>'Pg8'!$N$5:$N$9</c:f>
              <c:strCache>
                <c:ptCount val="5"/>
                <c:pt idx="0">
                  <c:v>Five years</c:v>
                </c:pt>
                <c:pt idx="1">
                  <c:v>Three years</c:v>
                </c:pt>
                <c:pt idx="2">
                  <c:v>Since 31/03/16</c:v>
                </c:pt>
                <c:pt idx="3">
                  <c:v>One year</c:v>
                </c:pt>
                <c:pt idx="4">
                  <c:v>Three months</c:v>
                </c:pt>
              </c:strCache>
              <c:extLst xmlns:c15="http://schemas.microsoft.com/office/drawing/2012/chart" xmlns:c16r2="http://schemas.microsoft.com/office/drawing/2015/06/chart"/>
            </c:strRef>
          </c:cat>
          <c:val>
            <c:numRef>
              <c:f>'Pg8'!$P$5:$P$9</c:f>
              <c:numCache>
                <c:formatCode>0.00</c:formatCode>
                <c:ptCount val="5"/>
                <c:pt idx="0">
                  <c:v>7.9283731529405701</c:v>
                </c:pt>
                <c:pt idx="1">
                  <c:v>7.6254078172779796</c:v>
                </c:pt>
                <c:pt idx="2">
                  <c:v>11.11</c:v>
                </c:pt>
                <c:pt idx="3">
                  <c:v>2.6275793186919301</c:v>
                </c:pt>
                <c:pt idx="4">
                  <c:v>-1.7961944594800601</c:v>
                </c:pt>
              </c:numCache>
            </c:numRef>
          </c:val>
          <c:extLst xmlns:c15="http://schemas.microsoft.com/office/drawing/2012/chart" xmlns:c16r2="http://schemas.microsoft.com/office/drawing/2015/06/chart">
            <c:ext xmlns:c16="http://schemas.microsoft.com/office/drawing/2014/chart" uri="{C3380CC4-5D6E-409C-BE32-E72D297353CC}">
              <c16:uniqueId val="{00000001-7DEA-4D2A-A1E3-A254A0BCE8D3}"/>
            </c:ext>
          </c:extLst>
        </c:ser>
        <c:ser>
          <c:idx val="2"/>
          <c:order val="2"/>
          <c:tx>
            <c:strRef>
              <c:f>'Pg8'!$Q$4</c:f>
              <c:strCache>
                <c:ptCount val="1"/>
                <c:pt idx="0">
                  <c:v>Actuarial Benchmark</c:v>
                </c:pt>
              </c:strCache>
            </c:strRef>
          </c:tx>
          <c:spPr>
            <a:solidFill>
              <a:srgbClr val="297FD5">
                <a:lumMod val="40000"/>
                <a:lumOff val="60000"/>
              </a:srgbClr>
            </a:solidFill>
            <a:effectLst/>
            <a:scene3d>
              <a:camera prst="orthographicFront"/>
              <a:lightRig rig="threePt" dir="t">
                <a:rot lat="0" lon="0" rev="19800000"/>
              </a:lightRig>
            </a:scene3d>
            <a:sp3d prstMaterial="plastic"/>
          </c:spPr>
          <c:invertIfNegative val="0"/>
          <c:dPt>
            <c:idx val="1"/>
            <c:invertIfNegative val="0"/>
            <c:bubble3D val="0"/>
            <c:extLst xmlns:c16r2="http://schemas.microsoft.com/office/drawing/2015/06/chart">
              <c:ext xmlns:c16="http://schemas.microsoft.com/office/drawing/2014/chart" uri="{C3380CC4-5D6E-409C-BE32-E72D297353CC}">
                <c16:uniqueId val="{00000002-7DEA-4D2A-A1E3-A254A0BCE8D3}"/>
              </c:ext>
            </c:extLst>
          </c:dPt>
          <c:dLbls>
            <c:numFmt formatCode="#,##0.0" sourceLinked="0"/>
            <c:spPr>
              <a:noFill/>
              <a:ln>
                <a:noFill/>
              </a:ln>
              <a:effectLst/>
            </c:spPr>
            <c:txPr>
              <a:bodyPr wrap="square" lIns="38100" tIns="19050" rIns="38100" bIns="19050" anchor="ctr">
                <a:spAutoFit/>
              </a:bodyPr>
              <a:lstStyle/>
              <a:p>
                <a:pPr>
                  <a:defRPr sz="900">
                    <a:latin typeface="Calibri" panose="020F05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'Pg8'!$N$5:$N$9</c:f>
              <c:strCache>
                <c:ptCount val="5"/>
                <c:pt idx="0">
                  <c:v>Five years</c:v>
                </c:pt>
                <c:pt idx="1">
                  <c:v>Three years</c:v>
                </c:pt>
                <c:pt idx="2">
                  <c:v>Since 31/03/16</c:v>
                </c:pt>
                <c:pt idx="3">
                  <c:v>One year</c:v>
                </c:pt>
                <c:pt idx="4">
                  <c:v>Three months</c:v>
                </c:pt>
              </c:strCache>
            </c:strRef>
          </c:cat>
          <c:val>
            <c:numRef>
              <c:f>'Pg8'!$Q$5:$Q$9</c:f>
              <c:numCache>
                <c:formatCode>0.00</c:formatCode>
                <c:ptCount val="5"/>
                <c:pt idx="0">
                  <c:v>5.7270644774611403</c:v>
                </c:pt>
                <c:pt idx="1">
                  <c:v>4.5608333615868801</c:v>
                </c:pt>
                <c:pt idx="2">
                  <c:v>4.4000000000000004</c:v>
                </c:pt>
                <c:pt idx="3">
                  <c:v>4.4000000000000004</c:v>
                </c:pt>
                <c:pt idx="4">
                  <c:v>1.0851910039375099</c:v>
                </c:pt>
              </c:numCache>
            </c:numRef>
          </c:val>
          <c:extLst xmlns:c16r2="http://schemas.microsoft.com/office/drawing/2015/06/chart">
            <c:ext xmlns:c16="http://schemas.microsoft.com/office/drawing/2014/chart" uri="{C3380CC4-5D6E-409C-BE32-E72D297353CC}">
              <c16:uniqueId val="{00000003-7DEA-4D2A-A1E3-A254A0BCE8D3}"/>
            </c:ext>
          </c:extLst>
        </c:ser>
        <c:dLbls>
          <c:dLblPos val="outEnd"/>
          <c:showLegendKey val="0"/>
          <c:showVal val="1"/>
          <c:showCatName val="0"/>
          <c:showSerName val="0"/>
          <c:showPercent val="0"/>
          <c:showBubbleSize val="0"/>
        </c:dLbls>
        <c:gapWidth val="50"/>
        <c:axId val="19778264"/>
        <c:axId val="19776696"/>
        <c:extLst xmlns:c16r2="http://schemas.microsoft.com/office/drawing/2015/06/chart"/>
      </c:barChart>
      <c:catAx>
        <c:axId val="19778264"/>
        <c:scaling>
          <c:orientation val="minMax"/>
        </c:scaling>
        <c:delete val="0"/>
        <c:axPos val="b"/>
        <c:numFmt formatCode="General" sourceLinked="1"/>
        <c:majorTickMark val="none"/>
        <c:minorTickMark val="none"/>
        <c:tickLblPos val="low"/>
        <c:txPr>
          <a:bodyPr rot="0" vert="horz" anchor="t" anchorCtr="1"/>
          <a:lstStyle/>
          <a:p>
            <a:pPr>
              <a:defRPr sz="1000">
                <a:solidFill>
                  <a:schemeClr val="tx1">
                    <a:lumMod val="65000"/>
                    <a:lumOff val="35000"/>
                  </a:schemeClr>
                </a:solidFill>
                <a:latin typeface="Calibri" pitchFamily="34" charset="0"/>
              </a:defRPr>
            </a:pPr>
            <a:endParaRPr lang="en-US"/>
          </a:p>
        </c:txPr>
        <c:crossAx val="19776696"/>
        <c:crosses val="autoZero"/>
        <c:auto val="1"/>
        <c:lblAlgn val="ctr"/>
        <c:lblOffset val="100"/>
        <c:noMultiLvlLbl val="0"/>
      </c:catAx>
      <c:valAx>
        <c:axId val="19776696"/>
        <c:scaling>
          <c:orientation val="minMax"/>
        </c:scaling>
        <c:delete val="0"/>
        <c:axPos val="l"/>
        <c:majorGridlines>
          <c:spPr>
            <a:ln>
              <a:solidFill>
                <a:sysClr val="window" lastClr="FFFFFF">
                  <a:lumMod val="85000"/>
                </a:sysClr>
              </a:solidFill>
            </a:ln>
          </c:spPr>
        </c:majorGridlines>
        <c:title>
          <c:tx>
            <c:rich>
              <a:bodyPr/>
              <a:lstStyle/>
              <a:p>
                <a:pPr>
                  <a:defRPr/>
                </a:pPr>
                <a:r>
                  <a:rPr lang="en-US">
                    <a:solidFill>
                      <a:schemeClr val="accent2">
                        <a:lumMod val="50000"/>
                      </a:schemeClr>
                    </a:solidFill>
                  </a:rPr>
                  <a:t>Return %</a:t>
                </a:r>
              </a:p>
            </c:rich>
          </c:tx>
          <c:layout/>
          <c:overlay val="0"/>
        </c:title>
        <c:numFmt formatCode="0" sourceLinked="0"/>
        <c:majorTickMark val="out"/>
        <c:minorTickMark val="none"/>
        <c:tickLblPos val="nextTo"/>
        <c:txPr>
          <a:bodyPr/>
          <a:lstStyle/>
          <a:p>
            <a:pPr>
              <a:defRPr sz="1000">
                <a:solidFill>
                  <a:schemeClr val="tx1">
                    <a:lumMod val="65000"/>
                    <a:lumOff val="35000"/>
                  </a:schemeClr>
                </a:solidFill>
                <a:latin typeface="Calibri" pitchFamily="34" charset="0"/>
              </a:defRPr>
            </a:pPr>
            <a:endParaRPr lang="en-US"/>
          </a:p>
        </c:txPr>
        <c:crossAx val="19778264"/>
        <c:crosses val="autoZero"/>
        <c:crossBetween val="between"/>
      </c:valAx>
      <c:spPr>
        <a:effectLst/>
      </c:spPr>
    </c:plotArea>
    <c:legend>
      <c:legendPos val="t"/>
      <c:layout>
        <c:manualLayout>
          <c:xMode val="edge"/>
          <c:yMode val="edge"/>
          <c:x val="0.20401201201201202"/>
          <c:y val="0.12300608118772315"/>
          <c:w val="0.64062462462462466"/>
          <c:h val="8.0368475811557025E-2"/>
        </c:manualLayout>
      </c:layout>
      <c:overlay val="0"/>
      <c:txPr>
        <a:bodyPr/>
        <a:lstStyle/>
        <a:p>
          <a:pPr>
            <a:defRPr sz="1050">
              <a:solidFill>
                <a:schemeClr val="tx1">
                  <a:lumMod val="65000"/>
                  <a:lumOff val="35000"/>
                </a:schemeClr>
              </a:solidFill>
              <a:latin typeface="Calibri" pitchFamily="34"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Pensioners</c:v>
                </c:pt>
              </c:strCache>
            </c:strRef>
          </c:tx>
          <c:spPr>
            <a:solidFill>
              <a:schemeClr val="accent2"/>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Sheet1!$B$2:$B$5</c:f>
              <c:numCache>
                <c:formatCode>General</c:formatCode>
                <c:ptCount val="4"/>
                <c:pt idx="0">
                  <c:v>0</c:v>
                </c:pt>
                <c:pt idx="1">
                  <c:v>2860</c:v>
                </c:pt>
                <c:pt idx="2">
                  <c:v>0</c:v>
                </c:pt>
                <c:pt idx="3">
                  <c:v>3096</c:v>
                </c:pt>
              </c:numCache>
            </c:numRef>
          </c:val>
        </c:ser>
        <c:ser>
          <c:idx val="1"/>
          <c:order val="1"/>
          <c:tx>
            <c:strRef>
              <c:f>Sheet1!$C$1</c:f>
              <c:strCache>
                <c:ptCount val="1"/>
                <c:pt idx="0">
                  <c:v>Deferreds</c:v>
                </c:pt>
              </c:strCache>
            </c:strRef>
          </c:tx>
          <c:spPr>
            <a:solidFill>
              <a:schemeClr val="accent3"/>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Sheet1!$C$2:$C$5</c:f>
              <c:numCache>
                <c:formatCode>General</c:formatCode>
                <c:ptCount val="4"/>
                <c:pt idx="0">
                  <c:v>0</c:v>
                </c:pt>
                <c:pt idx="1">
                  <c:v>1088</c:v>
                </c:pt>
                <c:pt idx="2">
                  <c:v>0</c:v>
                </c:pt>
                <c:pt idx="3">
                  <c:v>1305</c:v>
                </c:pt>
              </c:numCache>
            </c:numRef>
          </c:val>
        </c:ser>
        <c:ser>
          <c:idx val="2"/>
          <c:order val="2"/>
          <c:tx>
            <c:strRef>
              <c:f>Sheet1!$D$1</c:f>
              <c:strCache>
                <c:ptCount val="1"/>
                <c:pt idx="0">
                  <c:v>Actives</c:v>
                </c:pt>
              </c:strCache>
            </c:strRef>
          </c:tx>
          <c:spPr>
            <a:solidFill>
              <a:srgbClr val="ED2C67"/>
            </a:solidFill>
          </c:spPr>
          <c:invertIfNegative val="0"/>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Sheet1!$D$2:$D$5</c:f>
              <c:numCache>
                <c:formatCode>General</c:formatCode>
                <c:ptCount val="4"/>
                <c:pt idx="0">
                  <c:v>0</c:v>
                </c:pt>
                <c:pt idx="1">
                  <c:v>2440</c:v>
                </c:pt>
                <c:pt idx="2">
                  <c:v>0</c:v>
                </c:pt>
                <c:pt idx="3">
                  <c:v>2325</c:v>
                </c:pt>
              </c:numCache>
            </c:numRef>
          </c:val>
        </c:ser>
        <c:ser>
          <c:idx val="3"/>
          <c:order val="3"/>
          <c:tx>
            <c:strRef>
              <c:f>Sheet1!$E$1</c:f>
              <c:strCache>
                <c:ptCount val="1"/>
                <c:pt idx="0">
                  <c:v>Assets</c:v>
                </c:pt>
              </c:strCache>
            </c:strRef>
          </c:tx>
          <c:spPr>
            <a:solidFill>
              <a:srgbClr val="AD208E"/>
            </a:solidFill>
          </c:spPr>
          <c:invertIfNegative val="0"/>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Sheet1!$E$2:$E$5</c:f>
              <c:numCache>
                <c:formatCode>General</c:formatCode>
                <c:ptCount val="4"/>
                <c:pt idx="0">
                  <c:v>5011</c:v>
                </c:pt>
                <c:pt idx="1">
                  <c:v>0</c:v>
                </c:pt>
                <c:pt idx="2">
                  <c:v>6036</c:v>
                </c:pt>
                <c:pt idx="3">
                  <c:v>0</c:v>
                </c:pt>
              </c:numCache>
            </c:numRef>
          </c:val>
        </c:ser>
        <c:ser>
          <c:idx val="4"/>
          <c:order val="4"/>
          <c:tx>
            <c:strRef>
              <c:f>Sheet1!$F$1</c:f>
              <c:strCache>
                <c:ptCount val="1"/>
                <c:pt idx="0">
                  <c:v>Column1</c:v>
                </c:pt>
              </c:strCache>
            </c:strRef>
          </c:tx>
          <c:invertIfNegative val="0"/>
          <c:dLbls>
            <c:dLbl>
              <c:idx val="0"/>
              <c:layout>
                <c:manualLayout>
                  <c:x val="8.7345860840601613E-2"/>
                  <c:y val="-0.21110030316462902"/>
                </c:manualLayout>
              </c:layout>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10276179986955121"/>
                  <c:y val="-0.12313203907885845"/>
                </c:manualLayout>
              </c:layout>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Sheet1!$F$2:$F$5</c:f>
              <c:numCache>
                <c:formatCode>General</c:formatCode>
                <c:ptCount val="4"/>
                <c:pt idx="0" formatCode="0%">
                  <c:v>0.78</c:v>
                </c:pt>
                <c:pt idx="2" formatCode="0%">
                  <c:v>0.9</c:v>
                </c:pt>
              </c:numCache>
            </c:numRef>
          </c:val>
        </c:ser>
        <c:dLbls>
          <c:showLegendKey val="0"/>
          <c:showVal val="0"/>
          <c:showCatName val="0"/>
          <c:showSerName val="0"/>
          <c:showPercent val="0"/>
          <c:showBubbleSize val="0"/>
        </c:dLbls>
        <c:gapWidth val="75"/>
        <c:overlap val="100"/>
        <c:axId val="19777872"/>
        <c:axId val="19773560"/>
      </c:barChart>
      <c:catAx>
        <c:axId val="19777872"/>
        <c:scaling>
          <c:orientation val="minMax"/>
        </c:scaling>
        <c:delete val="0"/>
        <c:axPos val="b"/>
        <c:numFmt formatCode="General" sourceLinked="0"/>
        <c:majorTickMark val="none"/>
        <c:minorTickMark val="none"/>
        <c:tickLblPos val="nextTo"/>
        <c:txPr>
          <a:bodyPr/>
          <a:lstStyle/>
          <a:p>
            <a:pPr>
              <a:defRPr b="1">
                <a:solidFill>
                  <a:schemeClr val="accent5"/>
                </a:solidFill>
              </a:defRPr>
            </a:pPr>
            <a:endParaRPr lang="en-US"/>
          </a:p>
        </c:txPr>
        <c:crossAx val="19773560"/>
        <c:crosses val="autoZero"/>
        <c:auto val="1"/>
        <c:lblAlgn val="ctr"/>
        <c:lblOffset val="100"/>
        <c:noMultiLvlLbl val="0"/>
      </c:catAx>
      <c:valAx>
        <c:axId val="19773560"/>
        <c:scaling>
          <c:orientation val="minMax"/>
        </c:scaling>
        <c:delete val="0"/>
        <c:axPos val="l"/>
        <c:title>
          <c:tx>
            <c:rich>
              <a:bodyPr rot="-5400000" vert="horz"/>
              <a:lstStyle/>
              <a:p>
                <a:pPr>
                  <a:defRPr sz="1100">
                    <a:solidFill>
                      <a:schemeClr val="accent5"/>
                    </a:solidFill>
                  </a:defRPr>
                </a:pPr>
                <a:r>
                  <a:rPr lang="en-GB" sz="1100">
                    <a:solidFill>
                      <a:schemeClr val="accent5"/>
                    </a:solidFill>
                  </a:rPr>
                  <a:t>£ m</a:t>
                </a:r>
              </a:p>
            </c:rich>
          </c:tx>
          <c:overlay val="0"/>
        </c:title>
        <c:numFmt formatCode="#,##0" sourceLinked="0"/>
        <c:majorTickMark val="none"/>
        <c:minorTickMark val="none"/>
        <c:tickLblPos val="nextTo"/>
        <c:spPr>
          <a:ln w="9525">
            <a:noFill/>
          </a:ln>
        </c:spPr>
        <c:txPr>
          <a:bodyPr/>
          <a:lstStyle/>
          <a:p>
            <a:pPr>
              <a:defRPr>
                <a:solidFill>
                  <a:schemeClr val="accent5"/>
                </a:solidFill>
              </a:defRPr>
            </a:pPr>
            <a:endParaRPr lang="en-US"/>
          </a:p>
        </c:txPr>
        <c:crossAx val="19777872"/>
        <c:crosses val="autoZero"/>
        <c:crossBetween val="between"/>
        <c:majorUnit val="1000"/>
      </c:valAx>
    </c:plotArea>
    <c:legend>
      <c:legendPos val="b"/>
      <c:legendEntry>
        <c:idx val="4"/>
        <c:delete val="1"/>
      </c:legendEntry>
      <c:layout>
        <c:manualLayout>
          <c:xMode val="edge"/>
          <c:yMode val="edge"/>
          <c:x val="0.18527169652926334"/>
          <c:y val="0.89851164644023462"/>
          <c:w val="0.64487066284344519"/>
          <c:h val="7.5085713295739029E-2"/>
        </c:manualLayout>
      </c:layout>
      <c:overlay val="0"/>
      <c:txPr>
        <a:bodyPr/>
        <a:lstStyle/>
        <a:p>
          <a:pPr>
            <a:defRPr b="1">
              <a:solidFill>
                <a:schemeClr val="accent5"/>
              </a:solidFill>
            </a:defRPr>
          </a:pPr>
          <a:endParaRPr lang="en-US"/>
        </a:p>
      </c:txPr>
    </c:legend>
    <c:plotVisOnly val="1"/>
    <c:dispBlanksAs val="gap"/>
    <c:showDLblsOverMax val="0"/>
  </c:chart>
  <c:spPr>
    <a:ln>
      <a:noFill/>
    </a:ln>
  </c:spPr>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3479F-2A03-42FB-A9AD-A1B41830D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30779</Words>
  <Characters>175444</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205812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Gallacher, Helen</dc:creator>
  <cp:lastModifiedBy>Neville, Mike</cp:lastModifiedBy>
  <cp:revision>3</cp:revision>
  <cp:lastPrinted>2017-08-23T11:36:00Z</cp:lastPrinted>
  <dcterms:created xsi:type="dcterms:W3CDTF">2018-06-27T15:17:00Z</dcterms:created>
  <dcterms:modified xsi:type="dcterms:W3CDTF">2018-06-27T15:42:00Z</dcterms:modified>
</cp:coreProperties>
</file>